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adjustRightInd/>
        <w:snapToGrid/>
        <w:spacing w:before="0" w:beforeAutospacing="0" w:after="0" w:afterAutospacing="0" w:line="600" w:lineRule="exact"/>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汕头市澄海区狮头鹅国家现代农业产业园</w:t>
      </w:r>
    </w:p>
    <w:p>
      <w:pPr>
        <w:pStyle w:val="13"/>
        <w:widowControl w:val="0"/>
        <w:adjustRightInd/>
        <w:snapToGrid/>
        <w:spacing w:before="0" w:beforeAutospacing="0" w:after="0" w:afterAutospacing="0" w:line="600" w:lineRule="exact"/>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项目建设管理制度</w:t>
      </w:r>
    </w:p>
    <w:p>
      <w:pPr>
        <w:pStyle w:val="13"/>
        <w:widowControl w:val="0"/>
        <w:adjustRightInd/>
        <w:snapToGrid/>
        <w:spacing w:before="0" w:beforeAutospacing="0" w:after="0" w:afterAutospacing="0" w:line="600" w:lineRule="exact"/>
        <w:ind w:firstLine="0" w:firstLineChars="0"/>
        <w:jc w:val="center"/>
        <w:rPr>
          <w:rFonts w:ascii="楷体" w:hAnsi="楷体" w:eastAsia="楷体" w:cs="楷体"/>
          <w:color w:val="000000"/>
          <w:sz w:val="32"/>
          <w:szCs w:val="32"/>
        </w:rPr>
      </w:pPr>
      <w:r>
        <w:rPr>
          <w:rFonts w:hint="eastAsia" w:ascii="楷体" w:hAnsi="楷体" w:eastAsia="楷体" w:cs="楷体"/>
          <w:color w:val="000000"/>
          <w:sz w:val="32"/>
          <w:szCs w:val="32"/>
        </w:rPr>
        <w:t>（征求意见稿）</w:t>
      </w:r>
    </w:p>
    <w:p>
      <w:pPr>
        <w:pStyle w:val="13"/>
        <w:widowControl w:val="0"/>
        <w:adjustRightInd/>
        <w:snapToGrid/>
        <w:spacing w:before="0" w:beforeAutospacing="0" w:after="0" w:afterAutospacing="0" w:line="600" w:lineRule="exact"/>
        <w:ind w:firstLine="592"/>
        <w:rPr>
          <w:rFonts w:eastAsia="仿宋_GB2312"/>
          <w:color w:val="000000"/>
          <w:sz w:val="32"/>
          <w:szCs w:val="32"/>
        </w:rPr>
      </w:pPr>
      <w:r>
        <w:rPr>
          <w:rFonts w:eastAsia="仿宋_GB2312"/>
          <w:color w:val="000000"/>
          <w:sz w:val="30"/>
          <w:szCs w:val="30"/>
        </w:rPr>
        <w:t>　　</w:t>
      </w:r>
    </w:p>
    <w:p>
      <w:pPr>
        <w:pStyle w:val="3"/>
        <w:ind w:firstLine="632"/>
      </w:pPr>
      <w:r>
        <w:rPr>
          <w:rFonts w:hint="eastAsia"/>
        </w:rPr>
        <w:t>第一章 总则</w:t>
      </w:r>
    </w:p>
    <w:p>
      <w:pPr>
        <w:ind w:firstLine="632"/>
      </w:pPr>
      <w:r>
        <w:rPr>
          <w:rFonts w:hint="eastAsia" w:ascii="仿宋_GB2312" w:hAnsi="仿宋_GB2312" w:eastAsia="仿宋_GB2312" w:cs="仿宋_GB2312"/>
          <w:szCs w:val="32"/>
        </w:rPr>
        <w:t>第一条</w:t>
      </w:r>
      <w:r>
        <w:rPr>
          <w:rFonts w:hint="eastAsia"/>
          <w:b/>
          <w:bCs/>
        </w:rPr>
        <w:t xml:space="preserve"> </w:t>
      </w:r>
      <w:r>
        <w:rPr>
          <w:rFonts w:hint="eastAsia"/>
        </w:rPr>
        <w:t>为切实加强汕头市澄海区狮头鹅国家现代农业产业园（以下简称狮头鹅产业园）建设管理，根据党中央国务院、省委省政府和市委市政府关于建设现代农业产业园的决策部署，结合我区狮头鹅产业发展实际，特制定本制度。</w:t>
      </w:r>
    </w:p>
    <w:p>
      <w:pPr>
        <w:ind w:firstLine="632"/>
      </w:pPr>
      <w:r>
        <w:rPr>
          <w:rFonts w:hint="eastAsia" w:ascii="仿宋_GB2312" w:hAnsi="仿宋_GB2312" w:eastAsia="仿宋_GB2312" w:cs="仿宋_GB2312"/>
          <w:szCs w:val="32"/>
        </w:rPr>
        <w:t>第二条</w:t>
      </w:r>
      <w:r>
        <w:rPr>
          <w:rFonts w:hint="eastAsia"/>
          <w:b/>
          <w:bCs/>
        </w:rPr>
        <w:t xml:space="preserve"> </w:t>
      </w:r>
      <w:r>
        <w:rPr>
          <w:rFonts w:hint="eastAsia"/>
        </w:rPr>
        <w:t>狮头鹅产业园建设突出产业立园、科技兴园、绿色强园、品牌富园、机制活园的要求，不断延伸主导产业链条，加速科技创新和成果转化应用，以特色化、标准化提高品牌影响力，提升市场竞争力，健全联农带农机制，推动产业园区和乡村同步发展。</w:t>
      </w:r>
    </w:p>
    <w:p>
      <w:pPr>
        <w:widowControl w:val="0"/>
        <w:ind w:firstLine="632"/>
        <w:rPr>
          <w:rFonts w:hint="eastAsia"/>
        </w:rPr>
      </w:pPr>
      <w:r>
        <w:rPr>
          <w:rFonts w:hint="eastAsia" w:ascii="仿宋_GB2312" w:hAnsi="仿宋_GB2312" w:eastAsia="仿宋_GB2312" w:cs="仿宋_GB2312"/>
          <w:szCs w:val="32"/>
        </w:rPr>
        <w:t>第三条</w:t>
      </w:r>
      <w:r>
        <w:rPr>
          <w:rFonts w:hint="eastAsia" w:ascii="仿宋_GB2312" w:hAnsi="仿宋_GB2312" w:eastAsia="仿宋_GB2312" w:cs="仿宋_GB2312"/>
          <w:b w:val="0"/>
          <w:bCs w:val="0"/>
          <w:szCs w:val="32"/>
        </w:rPr>
        <w:t xml:space="preserve"> </w:t>
      </w:r>
      <w:r>
        <w:rPr>
          <w:rFonts w:hint="eastAsia"/>
        </w:rPr>
        <w:t>狮头鹅产业园建立政府工作协调机制和市场化运作机制，形成政府引导、市场主导、企业运营、多方投入、农民受益的建设格局。</w:t>
      </w:r>
    </w:p>
    <w:p>
      <w:pPr>
        <w:pStyle w:val="3"/>
        <w:keepNext w:val="0"/>
        <w:keepLines w:val="0"/>
        <w:widowControl w:val="0"/>
        <w:ind w:firstLine="632"/>
      </w:pPr>
      <w:r>
        <w:rPr>
          <w:rFonts w:hint="eastAsia"/>
        </w:rPr>
        <w:t>第二章 组织保障及其职责</w:t>
      </w:r>
    </w:p>
    <w:p>
      <w:pPr>
        <w:keepNext w:val="0"/>
        <w:keepLines w:val="0"/>
        <w:pageBreakBefore w:val="0"/>
        <w:widowControl w:val="0"/>
        <w:wordWrap/>
        <w:overflowPunct/>
        <w:topLinePunct w:val="0"/>
        <w:bidi w:val="0"/>
        <w:adjustRightInd w:val="0"/>
        <w:snapToGrid w:val="0"/>
        <w:ind w:firstLine="632"/>
      </w:pPr>
      <w:r>
        <w:rPr>
          <w:rFonts w:hint="eastAsia" w:ascii="仿宋_GB2312" w:hAnsi="仿宋_GB2312" w:eastAsia="仿宋_GB2312" w:cs="仿宋_GB2312"/>
          <w:szCs w:val="32"/>
        </w:rPr>
        <w:t>第四条</w:t>
      </w:r>
      <w:r>
        <w:rPr>
          <w:rFonts w:hint="eastAsia" w:ascii="仿宋_GB2312" w:hAnsi="仿宋_GB2312" w:eastAsia="仿宋_GB2312" w:cs="仿宋_GB2312"/>
          <w:b w:val="0"/>
          <w:bCs w:val="0"/>
          <w:szCs w:val="32"/>
        </w:rPr>
        <w:t xml:space="preserve"> </w:t>
      </w:r>
      <w:r>
        <w:rPr>
          <w:rFonts w:hint="eastAsia"/>
        </w:rPr>
        <w:t>狮头鹅产业园建设在国家、省、市的支持、指导、监督、协调下积极</w:t>
      </w:r>
      <w:bookmarkStart w:id="0" w:name="_GoBack"/>
      <w:r>
        <w:rPr>
          <w:rFonts w:hint="eastAsia"/>
        </w:rPr>
        <w:t>稳妥推进。澄海区人民政府是产业园建设的责任主体，主要职责：</w:t>
      </w:r>
    </w:p>
    <w:p>
      <w:pPr>
        <w:keepNext w:val="0"/>
        <w:keepLines w:val="0"/>
        <w:pageBreakBefore w:val="0"/>
        <w:widowControl w:val="0"/>
        <w:wordWrap/>
        <w:overflowPunct/>
        <w:topLinePunct w:val="0"/>
        <w:bidi w:val="0"/>
        <w:adjustRightInd w:val="0"/>
        <w:snapToGrid w:val="0"/>
        <w:ind w:firstLine="632"/>
      </w:pPr>
      <w:r>
        <w:rPr>
          <w:rFonts w:hint="eastAsia"/>
        </w:rPr>
        <w:t>（一）以区长为狮头鹅产业园负责人，成立由区政府办、区农业农村局、财政局等相关职能部门主要负责人组成的澄海区国家现代农业产业园</w:t>
      </w:r>
      <w:r>
        <w:rPr>
          <w:rFonts w:hint="eastAsia"/>
          <w:lang w:val="en-US" w:eastAsia="zh-CN"/>
        </w:rPr>
        <w:t>建设</w:t>
      </w:r>
      <w:r>
        <w:rPr>
          <w:rFonts w:hint="eastAsia"/>
        </w:rPr>
        <w:t>领导小组，负责狮头鹅产业园区建设的领导、组织和协调、统筹工作，研究解决项目实施中的重大问题，落实项目建设资金，监督、检查项目的实施情况</w:t>
      </w:r>
      <w:r>
        <w:rPr>
          <w:rFonts w:hint="eastAsia"/>
          <w:lang w:eastAsia="zh-CN"/>
        </w:rPr>
        <w:t>。</w:t>
      </w:r>
      <w:r>
        <w:rPr>
          <w:rFonts w:hint="eastAsia"/>
        </w:rPr>
        <w:t>领导小组下设办公室（设在区农业农村局），负责处理产业园建设日常工作，贯彻落实中央、省、市关于现代农业产业园的各项方针、政策，确保政策措施落到实处。</w:t>
      </w:r>
    </w:p>
    <w:p>
      <w:pPr>
        <w:keepNext w:val="0"/>
        <w:keepLines w:val="0"/>
        <w:pageBreakBefore w:val="0"/>
        <w:widowControl w:val="0"/>
        <w:wordWrap/>
        <w:overflowPunct/>
        <w:topLinePunct w:val="0"/>
        <w:bidi w:val="0"/>
        <w:adjustRightInd w:val="0"/>
        <w:snapToGrid w:val="0"/>
        <w:ind w:firstLine="632"/>
      </w:pPr>
      <w:r>
        <w:rPr>
          <w:rFonts w:hint="eastAsia"/>
        </w:rPr>
        <w:t>（二）区国家现代农业产业园</w:t>
      </w:r>
      <w:r>
        <w:rPr>
          <w:rFonts w:hint="eastAsia"/>
          <w:lang w:val="en-US" w:eastAsia="zh-CN"/>
        </w:rPr>
        <w:t>建设</w:t>
      </w:r>
      <w:r>
        <w:rPr>
          <w:rFonts w:hint="eastAsia"/>
        </w:rPr>
        <w:t>领导小组原则上每季度至少召开一次产业园领导小组会议、产业园管委会会议，专题研究推进产业园建设。每半年向区委常委会、区政府常务会作产业园建设专门汇报。产业园管委会每个月召开一次工作协调会，研究推进产业园建设。</w:t>
      </w:r>
    </w:p>
    <w:p>
      <w:pPr>
        <w:keepNext w:val="0"/>
        <w:keepLines w:val="0"/>
        <w:pageBreakBefore w:val="0"/>
        <w:widowControl w:val="0"/>
        <w:wordWrap/>
        <w:overflowPunct/>
        <w:topLinePunct w:val="0"/>
        <w:bidi w:val="0"/>
        <w:adjustRightInd w:val="0"/>
        <w:snapToGrid w:val="0"/>
        <w:ind w:firstLine="632"/>
      </w:pPr>
      <w:r>
        <w:rPr>
          <w:rFonts w:hint="eastAsia"/>
        </w:rPr>
        <w:t>（三）坚持以绩效为导向，根据重点任务完成时间节点，负责产业园建设方案和资金使用方案审核，统筹推进产业园建设，落实产业园建设目标责任，逐级分解任务，严格检查督促。</w:t>
      </w:r>
    </w:p>
    <w:p>
      <w:pPr>
        <w:keepNext w:val="0"/>
        <w:keepLines w:val="0"/>
        <w:pageBreakBefore w:val="0"/>
        <w:widowControl w:val="0"/>
        <w:wordWrap/>
        <w:overflowPunct/>
        <w:topLinePunct w:val="0"/>
        <w:bidi w:val="0"/>
        <w:adjustRightInd w:val="0"/>
        <w:snapToGrid w:val="0"/>
        <w:ind w:firstLine="632"/>
      </w:pPr>
      <w:r>
        <w:rPr>
          <w:rFonts w:hint="eastAsia" w:ascii="仿宋_GB2312" w:hAnsi="仿宋_GB2312" w:eastAsia="仿宋_GB2312" w:cs="仿宋_GB2312"/>
          <w:szCs w:val="32"/>
        </w:rPr>
        <w:t xml:space="preserve">第五条 </w:t>
      </w:r>
      <w:r>
        <w:rPr>
          <w:rFonts w:hint="eastAsia"/>
        </w:rPr>
        <w:t>成立澄海区国家现代农业产业园管委会，主要职责为：</w:t>
      </w:r>
    </w:p>
    <w:p>
      <w:pPr>
        <w:keepNext w:val="0"/>
        <w:keepLines w:val="0"/>
        <w:pageBreakBefore w:val="0"/>
        <w:widowControl w:val="0"/>
        <w:wordWrap/>
        <w:overflowPunct/>
        <w:topLinePunct w:val="0"/>
        <w:bidi w:val="0"/>
        <w:adjustRightInd w:val="0"/>
        <w:snapToGrid w:val="0"/>
        <w:ind w:firstLine="632"/>
      </w:pPr>
      <w:r>
        <w:rPr>
          <w:rFonts w:hint="eastAsia"/>
        </w:rPr>
        <w:t>（一）负责做好现代农业产业园建设的日常统筹协调工作，强化项目管理，定期将项目建设，资金使用情况报领导小组办公室。</w:t>
      </w:r>
    </w:p>
    <w:p>
      <w:pPr>
        <w:keepNext w:val="0"/>
        <w:keepLines w:val="0"/>
        <w:pageBreakBefore w:val="0"/>
        <w:widowControl w:val="0"/>
        <w:wordWrap/>
        <w:overflowPunct/>
        <w:topLinePunct w:val="0"/>
        <w:bidi w:val="0"/>
        <w:adjustRightInd w:val="0"/>
        <w:snapToGrid w:val="0"/>
        <w:ind w:firstLine="632"/>
      </w:pPr>
      <w:r>
        <w:rPr>
          <w:rFonts w:hint="eastAsia"/>
        </w:rPr>
        <w:t>（二）负责现代农业产业园的建设方案和资金使用方案编制工作。</w:t>
      </w:r>
    </w:p>
    <w:p>
      <w:pPr>
        <w:keepNext w:val="0"/>
        <w:keepLines w:val="0"/>
        <w:pageBreakBefore w:val="0"/>
        <w:widowControl w:val="0"/>
        <w:wordWrap/>
        <w:overflowPunct/>
        <w:topLinePunct w:val="0"/>
        <w:bidi w:val="0"/>
        <w:adjustRightInd w:val="0"/>
        <w:snapToGrid w:val="0"/>
        <w:ind w:firstLine="632"/>
        <w:rPr>
          <w:rFonts w:hint="eastAsia"/>
        </w:rPr>
      </w:pPr>
      <w:r>
        <w:rPr>
          <w:rFonts w:hint="eastAsia"/>
        </w:rPr>
        <w:t>（三）负责组织开展项目的</w:t>
      </w:r>
      <w:r>
        <w:rPr>
          <w:rFonts w:hint="eastAsia"/>
          <w:lang w:eastAsia="zh-CN"/>
        </w:rPr>
        <w:t>建设主体</w:t>
      </w:r>
      <w:r>
        <w:rPr>
          <w:rFonts w:hint="eastAsia"/>
        </w:rPr>
        <w:t>的遴选工作，对</w:t>
      </w:r>
      <w:r>
        <w:rPr>
          <w:rFonts w:hint="eastAsia"/>
          <w:lang w:eastAsia="zh-CN"/>
        </w:rPr>
        <w:t>建设主体</w:t>
      </w:r>
      <w:r>
        <w:rPr>
          <w:rFonts w:hint="eastAsia"/>
        </w:rPr>
        <w:t>业务指导，督促按计划完成项目及任务清单，落实好产业园验收工作。</w:t>
      </w:r>
    </w:p>
    <w:p>
      <w:pPr>
        <w:keepNext w:val="0"/>
        <w:keepLines w:val="0"/>
        <w:pageBreakBefore w:val="0"/>
        <w:widowControl w:val="0"/>
        <w:numPr>
          <w:ilvl w:val="0"/>
          <w:numId w:val="1"/>
        </w:numPr>
        <w:wordWrap/>
        <w:overflowPunct/>
        <w:topLinePunct w:val="0"/>
        <w:bidi w:val="0"/>
        <w:adjustRightInd w:val="0"/>
        <w:snapToGrid w:val="0"/>
        <w:ind w:firstLine="632"/>
        <w:rPr>
          <w:rFonts w:hint="eastAsia"/>
        </w:rPr>
      </w:pPr>
      <w:r>
        <w:rPr>
          <w:rFonts w:hint="eastAsia"/>
        </w:rPr>
        <w:t>负责现代农业产业园验收后指导各</w:t>
      </w:r>
      <w:r>
        <w:rPr>
          <w:rFonts w:hint="eastAsia"/>
          <w:lang w:eastAsia="zh-CN"/>
        </w:rPr>
        <w:t>建设主体</w:t>
      </w:r>
      <w:r>
        <w:rPr>
          <w:rFonts w:hint="eastAsia"/>
        </w:rPr>
        <w:t>做好运营和资产管理。</w:t>
      </w:r>
    </w:p>
    <w:p>
      <w:pPr>
        <w:pStyle w:val="3"/>
        <w:keepNext w:val="0"/>
        <w:keepLines w:val="0"/>
        <w:pageBreakBefore w:val="0"/>
        <w:widowControl w:val="0"/>
        <w:wordWrap/>
        <w:overflowPunct/>
        <w:topLinePunct w:val="0"/>
        <w:bidi w:val="0"/>
        <w:adjustRightInd w:val="0"/>
        <w:snapToGrid w:val="0"/>
        <w:ind w:firstLine="632"/>
      </w:pPr>
      <w:r>
        <w:rPr>
          <w:rFonts w:hint="eastAsia"/>
        </w:rPr>
        <w:t>第三章 建设目标</w:t>
      </w:r>
    </w:p>
    <w:p>
      <w:pPr>
        <w:keepNext w:val="0"/>
        <w:keepLines w:val="0"/>
        <w:pageBreakBefore w:val="0"/>
        <w:widowControl w:val="0"/>
        <w:wordWrap/>
        <w:overflowPunct/>
        <w:topLinePunct w:val="0"/>
        <w:bidi w:val="0"/>
        <w:adjustRightInd w:val="0"/>
        <w:snapToGrid w:val="0"/>
        <w:ind w:firstLine="632"/>
      </w:pPr>
      <w:r>
        <w:rPr>
          <w:rFonts w:hint="eastAsia" w:ascii="仿宋_GB2312" w:hAnsi="仿宋_GB2312" w:eastAsia="仿宋_GB2312" w:cs="仿宋_GB2312"/>
          <w:szCs w:val="32"/>
        </w:rPr>
        <w:t xml:space="preserve">第六条 </w:t>
      </w:r>
      <w:r>
        <w:rPr>
          <w:rFonts w:hint="eastAsia"/>
        </w:rPr>
        <w:t>狮头鹅产业园重点围绕以下目标开展建设：</w:t>
      </w:r>
    </w:p>
    <w:p>
      <w:pPr>
        <w:keepNext w:val="0"/>
        <w:keepLines w:val="0"/>
        <w:pageBreakBefore w:val="0"/>
        <w:widowControl w:val="0"/>
        <w:wordWrap/>
        <w:overflowPunct/>
        <w:topLinePunct w:val="0"/>
        <w:bidi w:val="0"/>
        <w:adjustRightInd w:val="0"/>
        <w:snapToGrid w:val="0"/>
        <w:ind w:firstLine="632"/>
      </w:pPr>
      <w:r>
        <w:rPr>
          <w:rFonts w:hint="eastAsia"/>
        </w:rPr>
        <w:t>（一）做大做强狮头鹅产业，</w:t>
      </w:r>
      <w:r>
        <w:t>标准化养殖显著提升，辐射带动加工、农旅全产业链发展，一二三产业深度融合的狮头鹅产业化集群得到发展。</w:t>
      </w:r>
    </w:p>
    <w:p>
      <w:pPr>
        <w:keepNext w:val="0"/>
        <w:keepLines w:val="0"/>
        <w:pageBreakBefore w:val="0"/>
        <w:widowControl w:val="0"/>
        <w:wordWrap/>
        <w:overflowPunct/>
        <w:topLinePunct w:val="0"/>
        <w:bidi w:val="0"/>
        <w:adjustRightInd w:val="0"/>
        <w:snapToGrid w:val="0"/>
        <w:ind w:firstLine="632"/>
      </w:pPr>
      <w:r>
        <w:rPr>
          <w:rFonts w:hint="eastAsia"/>
        </w:rPr>
        <w:t>（二）促进生产要素集聚，聚集市场、资本、信息、人才等现代生产要素，推进农科教、产学研联合协作，推广应用现有先进技术和装备，探索</w:t>
      </w:r>
      <w:r>
        <w:t>构建狮头鹅产业科研支撑体系，狮头鹅科技创新能力显著提升</w:t>
      </w:r>
      <w:r>
        <w:rPr>
          <w:rFonts w:hint="eastAsia"/>
        </w:rPr>
        <w:t>。</w:t>
      </w:r>
    </w:p>
    <w:p>
      <w:pPr>
        <w:keepNext w:val="0"/>
        <w:keepLines w:val="0"/>
        <w:pageBreakBefore w:val="0"/>
        <w:widowControl w:val="0"/>
        <w:wordWrap/>
        <w:overflowPunct/>
        <w:topLinePunct w:val="0"/>
        <w:bidi w:val="0"/>
        <w:adjustRightInd w:val="0"/>
        <w:snapToGrid w:val="0"/>
        <w:ind w:firstLine="632"/>
      </w:pPr>
      <w:r>
        <w:rPr>
          <w:rFonts w:hint="eastAsia"/>
        </w:rPr>
        <w:t>（三）推进适度规模经营，鼓励引导家庭农场、农民合作社、农业产业化龙头企业等发展多种形式的适度规模经营，</w:t>
      </w:r>
      <w:r>
        <w:t>重点培育从事</w:t>
      </w:r>
      <w:r>
        <w:rPr>
          <w:rFonts w:hint="eastAsia"/>
        </w:rPr>
        <w:t>狮头鹅</w:t>
      </w:r>
      <w:r>
        <w:t>产业</w:t>
      </w:r>
      <w:r>
        <w:rPr>
          <w:rFonts w:hint="eastAsia"/>
        </w:rPr>
        <w:t>的新型经营主体，带动</w:t>
      </w:r>
      <w:r>
        <w:t>农业新型经营主体全面发</w:t>
      </w:r>
      <w:r>
        <w:rPr>
          <w:rFonts w:hint="eastAsia"/>
        </w:rPr>
        <w:t>展。</w:t>
      </w:r>
    </w:p>
    <w:p>
      <w:pPr>
        <w:keepNext w:val="0"/>
        <w:keepLines w:val="0"/>
        <w:pageBreakBefore w:val="0"/>
        <w:widowControl w:val="0"/>
        <w:wordWrap/>
        <w:overflowPunct/>
        <w:topLinePunct w:val="0"/>
        <w:bidi w:val="0"/>
        <w:adjustRightInd w:val="0"/>
        <w:snapToGrid w:val="0"/>
        <w:ind w:firstLine="632"/>
      </w:pPr>
      <w:r>
        <w:rPr>
          <w:rFonts w:hint="eastAsia"/>
        </w:rPr>
        <w:t>（四）</w:t>
      </w:r>
      <w:r>
        <w:t>提升</w:t>
      </w:r>
      <w:r>
        <w:rPr>
          <w:rFonts w:hint="eastAsia"/>
        </w:rPr>
        <w:t>畜禽粪便及废弃物综合处理水平，加强</w:t>
      </w:r>
      <w:r>
        <w:t>生产标准化、经营品牌化、质量可追溯，</w:t>
      </w:r>
      <w:r>
        <w:rPr>
          <w:rFonts w:hint="eastAsia"/>
        </w:rPr>
        <w:t>绿色食品和有机农产品认证和</w:t>
      </w:r>
      <w:r>
        <w:t>农产品质量安全追溯监管体系建设，</w:t>
      </w:r>
      <w:r>
        <w:rPr>
          <w:rFonts w:hint="eastAsia"/>
        </w:rPr>
        <w:t>推进</w:t>
      </w:r>
      <w:r>
        <w:t>狮头鹅</w:t>
      </w:r>
      <w:r>
        <w:rPr>
          <w:rFonts w:hint="eastAsia"/>
        </w:rPr>
        <w:t>产</w:t>
      </w:r>
      <w:r>
        <w:t>业绿色高质量发展</w:t>
      </w:r>
      <w:r>
        <w:rPr>
          <w:rFonts w:hint="eastAsia"/>
        </w:rPr>
        <w:t>。</w:t>
      </w:r>
    </w:p>
    <w:p>
      <w:pPr>
        <w:keepNext w:val="0"/>
        <w:keepLines w:val="0"/>
        <w:pageBreakBefore w:val="0"/>
        <w:widowControl w:val="0"/>
        <w:wordWrap/>
        <w:overflowPunct/>
        <w:topLinePunct w:val="0"/>
        <w:bidi w:val="0"/>
        <w:adjustRightInd w:val="0"/>
        <w:snapToGrid w:val="0"/>
        <w:ind w:firstLine="632"/>
      </w:pPr>
      <w:r>
        <w:rPr>
          <w:rFonts w:hint="eastAsia"/>
        </w:rPr>
        <w:t>（五）强化联农带农机制，狮头鹅产业</w:t>
      </w:r>
      <w:r>
        <w:t>园企业与农户的利益联结机制全面形成，带动</w:t>
      </w:r>
      <w:r>
        <w:rPr>
          <w:rFonts w:hint="eastAsia"/>
        </w:rPr>
        <w:t>农民充分分享主导产业收益，带动农民创业就业。</w:t>
      </w:r>
      <w:r>
        <w:t>辐射带动产业园农民持续增收</w:t>
      </w:r>
      <w:r>
        <w:rPr>
          <w:rFonts w:hint="eastAsia"/>
        </w:rPr>
        <w:t>，人均</w:t>
      </w:r>
      <w:r>
        <w:t>可支配收入持续稳定增长</w:t>
      </w:r>
      <w:r>
        <w:rPr>
          <w:rFonts w:hint="eastAsia"/>
        </w:rPr>
        <w:t>。</w:t>
      </w:r>
    </w:p>
    <w:p>
      <w:pPr>
        <w:keepNext w:val="0"/>
        <w:keepLines w:val="0"/>
        <w:pageBreakBefore w:val="0"/>
        <w:widowControl w:val="0"/>
        <w:wordWrap/>
        <w:overflowPunct/>
        <w:topLinePunct w:val="0"/>
        <w:bidi w:val="0"/>
        <w:adjustRightInd w:val="0"/>
        <w:snapToGrid w:val="0"/>
        <w:ind w:firstLine="632"/>
        <w:rPr>
          <w:rFonts w:hint="eastAsia"/>
        </w:rPr>
      </w:pPr>
      <w:r>
        <w:rPr>
          <w:rFonts w:hint="eastAsia"/>
        </w:rPr>
        <w:t>（六）加大对狮头鹅产业园的政策支持，发挥财政资金的引领作用，建立稳定的资金多元投入机制，金融信贷服务全面提升，撬动更多金融和社会资本投入产业园后续运营管理。</w:t>
      </w:r>
    </w:p>
    <w:p>
      <w:pPr>
        <w:pStyle w:val="3"/>
        <w:keepNext w:val="0"/>
        <w:keepLines w:val="0"/>
        <w:pageBreakBefore w:val="0"/>
        <w:widowControl w:val="0"/>
        <w:wordWrap/>
        <w:overflowPunct/>
        <w:topLinePunct w:val="0"/>
        <w:bidi w:val="0"/>
        <w:adjustRightInd w:val="0"/>
        <w:snapToGrid w:val="0"/>
        <w:ind w:firstLine="632"/>
        <w:rPr>
          <w:rFonts w:hint="eastAsia"/>
          <w:lang w:val="en-US" w:eastAsia="zh-CN"/>
        </w:rPr>
      </w:pPr>
      <w:r>
        <w:rPr>
          <w:rFonts w:hint="eastAsia"/>
          <w:lang w:val="en-US" w:eastAsia="zh-CN"/>
        </w:rPr>
        <w:t>第四章 项目申报</w:t>
      </w:r>
    </w:p>
    <w:p>
      <w:pPr>
        <w:keepNext w:val="0"/>
        <w:keepLines w:val="0"/>
        <w:pageBreakBefore w:val="0"/>
        <w:widowControl w:val="0"/>
        <w:wordWrap/>
        <w:overflowPunct/>
        <w:topLinePunct w:val="0"/>
        <w:bidi w:val="0"/>
        <w:adjustRightInd w:val="0"/>
        <w:snapToGrid w:val="0"/>
        <w:ind w:firstLine="632"/>
        <w:rPr>
          <w:rFonts w:hint="default" w:eastAsia="方正仿宋简体"/>
          <w:color w:val="auto"/>
          <w:highlight w:val="none"/>
          <w:lang w:val="en-US" w:eastAsia="zh-CN"/>
        </w:rPr>
      </w:pPr>
      <w:r>
        <w:rPr>
          <w:rFonts w:hint="eastAsia" w:ascii="仿宋_GB2312" w:hAnsi="仿宋_GB2312" w:eastAsia="仿宋_GB2312" w:cs="仿宋_GB2312"/>
          <w:color w:val="auto"/>
          <w:szCs w:val="32"/>
          <w:highlight w:val="none"/>
          <w:lang w:val="en-US" w:eastAsia="zh-CN"/>
        </w:rPr>
        <w:t>第七条</w:t>
      </w:r>
      <w:r>
        <w:rPr>
          <w:rFonts w:hint="eastAsia"/>
          <w:color w:val="auto"/>
          <w:highlight w:val="none"/>
          <w:lang w:val="en-US" w:eastAsia="zh-CN"/>
        </w:rPr>
        <w:t xml:space="preserve"> </w:t>
      </w:r>
      <w:r>
        <w:rPr>
          <w:rFonts w:hint="eastAsia"/>
          <w:b w:val="0"/>
          <w:bCs w:val="0"/>
          <w:color w:val="auto"/>
          <w:highlight w:val="none"/>
          <w:lang w:val="en-US" w:eastAsia="zh-CN"/>
        </w:rPr>
        <w:t>产业园建设项目分为公益类、企业类和合作类三大类。公益类项目是指由政府职能部门、当地科研事业单位承担的服务于产业园整体的公共建设项目；企业类项目是指由狮头鹅经营主体自主建设、自身受益的项目；合作类项目是指国有企业（简称“平台公司”）作为实施主体，采取租赁、入股、固定收益等方式与产业园相关企业合作，获得中央财政奖补资金投资收益的项目。</w:t>
      </w:r>
    </w:p>
    <w:p>
      <w:pPr>
        <w:keepNext w:val="0"/>
        <w:keepLines w:val="0"/>
        <w:pageBreakBefore w:val="0"/>
        <w:widowControl w:val="0"/>
        <w:wordWrap/>
        <w:overflowPunct/>
        <w:topLinePunct w:val="0"/>
        <w:bidi w:val="0"/>
        <w:adjustRightInd w:val="0"/>
        <w:snapToGrid w:val="0"/>
        <w:ind w:firstLine="632"/>
        <w:rPr>
          <w:rFonts w:hint="eastAsia"/>
          <w:color w:val="auto"/>
          <w:highlight w:val="none"/>
          <w:lang w:val="en-US" w:eastAsia="zh-CN"/>
        </w:rPr>
      </w:pPr>
      <w:r>
        <w:rPr>
          <w:rFonts w:hint="eastAsia" w:ascii="仿宋_GB2312" w:hAnsi="仿宋_GB2312" w:eastAsia="仿宋_GB2312" w:cs="仿宋_GB2312"/>
          <w:color w:val="auto"/>
          <w:szCs w:val="32"/>
          <w:highlight w:val="none"/>
          <w:lang w:val="en-US" w:eastAsia="zh-CN"/>
        </w:rPr>
        <w:t>第八条</w:t>
      </w:r>
      <w:r>
        <w:rPr>
          <w:rFonts w:hint="eastAsia"/>
          <w:color w:val="auto"/>
          <w:highlight w:val="none"/>
          <w:lang w:val="en-US" w:eastAsia="zh-CN"/>
        </w:rPr>
        <w:t xml:space="preserve"> </w:t>
      </w:r>
      <w:r>
        <w:rPr>
          <w:rFonts w:hint="eastAsia"/>
          <w:b w:val="0"/>
          <w:bCs w:val="0"/>
          <w:color w:val="auto"/>
          <w:highlight w:val="none"/>
          <w:lang w:val="en-US" w:eastAsia="zh-CN"/>
        </w:rPr>
        <w:t>企业类项目需采用</w:t>
      </w:r>
      <w:r>
        <w:rPr>
          <w:rFonts w:hint="eastAsia"/>
          <w:color w:val="auto"/>
          <w:highlight w:val="none"/>
          <w:lang w:val="en-US" w:eastAsia="zh-CN"/>
        </w:rPr>
        <w:t>公开遴选方式确定项目建设主体，狮头鹅经营主体成为项目建设主体须满足以下条件：</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lang w:val="en-US" w:eastAsia="zh-CN" w:bidi="ar-SA"/>
        </w:rPr>
      </w:pP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w:t>
      </w:r>
      <w:r>
        <w:rPr>
          <w:rFonts w:hint="eastAsia" w:ascii="Times New Roman" w:hAnsi="Times New Roman" w:eastAsia="方正仿宋简体" w:cstheme="minorBidi"/>
          <w:i w:val="0"/>
          <w:iCs w:val="0"/>
          <w:caps w:val="0"/>
          <w:color w:val="auto"/>
          <w:spacing w:val="0"/>
          <w:sz w:val="32"/>
          <w:szCs w:val="22"/>
          <w:highlight w:val="none"/>
          <w:shd w:val="clear"/>
          <w:lang w:val="en-US" w:eastAsia="zh-CN" w:bidi="ar-SA"/>
        </w:rPr>
        <w:t>一</w:t>
      </w: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）在汕头市澄海区国家现代农业产业园范围内从事育种、养殖、屠宰、加工、科研等狮头鹅产业链各环节的农业经营主体。</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lang w:val="en-US" w:eastAsia="zh-CN" w:bidi="ar-SA"/>
        </w:rPr>
      </w:pP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w:t>
      </w:r>
      <w:r>
        <w:rPr>
          <w:rFonts w:hint="eastAsia" w:ascii="Times New Roman" w:hAnsi="Times New Roman" w:eastAsia="方正仿宋简体" w:cstheme="minorBidi"/>
          <w:i w:val="0"/>
          <w:iCs w:val="0"/>
          <w:caps w:val="0"/>
          <w:color w:val="auto"/>
          <w:spacing w:val="0"/>
          <w:sz w:val="32"/>
          <w:szCs w:val="22"/>
          <w:highlight w:val="none"/>
          <w:shd w:val="clear"/>
          <w:lang w:val="en-US" w:eastAsia="zh-CN" w:bidi="ar-SA"/>
        </w:rPr>
        <w:t>二</w:t>
      </w: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）具有独立承担民事责任的能力（提供企（事）业法人或者其他组织的营业执照等证明文件）。</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lang w:val="en-US" w:eastAsia="zh-CN" w:bidi="ar-SA"/>
        </w:rPr>
      </w:pP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w:t>
      </w:r>
      <w:r>
        <w:rPr>
          <w:rFonts w:hint="eastAsia" w:ascii="Times New Roman" w:hAnsi="Times New Roman" w:eastAsia="方正仿宋简体" w:cstheme="minorBidi"/>
          <w:i w:val="0"/>
          <w:iCs w:val="0"/>
          <w:caps w:val="0"/>
          <w:color w:val="auto"/>
          <w:spacing w:val="0"/>
          <w:sz w:val="32"/>
          <w:szCs w:val="22"/>
          <w:highlight w:val="none"/>
          <w:shd w:val="clear"/>
          <w:lang w:val="en-US" w:eastAsia="zh-CN" w:bidi="ar-SA"/>
        </w:rPr>
        <w:t>三</w:t>
      </w: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）具有良好的商业信誉和健全的财务会计制度，财务状况良好，资产负债率不超过65%。</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lang w:val="en-US" w:eastAsia="zh-CN" w:bidi="ar-SA"/>
        </w:rPr>
      </w:pP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w:t>
      </w:r>
      <w:r>
        <w:rPr>
          <w:rFonts w:hint="eastAsia" w:ascii="Times New Roman" w:hAnsi="Times New Roman" w:eastAsia="方正仿宋简体" w:cstheme="minorBidi"/>
          <w:i w:val="0"/>
          <w:iCs w:val="0"/>
          <w:caps w:val="0"/>
          <w:color w:val="auto"/>
          <w:spacing w:val="0"/>
          <w:sz w:val="32"/>
          <w:szCs w:val="22"/>
          <w:highlight w:val="none"/>
          <w:shd w:val="clear"/>
          <w:lang w:val="en-US" w:eastAsia="zh-CN" w:bidi="ar-SA"/>
        </w:rPr>
        <w:t>四</w:t>
      </w: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）企业或其他组织于参加遴选截止到日前未被列入“信用中国”网站（www.creditchina.gov.cn）“记录失信被执行人或重大税收违法案件当事人名单”记录名单。</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lang w:val="en-US" w:eastAsia="zh-CN" w:bidi="ar-SA"/>
        </w:rPr>
      </w:pP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w:t>
      </w:r>
      <w:r>
        <w:rPr>
          <w:rFonts w:hint="eastAsia" w:ascii="Times New Roman" w:hAnsi="Times New Roman" w:eastAsia="方正仿宋简体" w:cstheme="minorBidi"/>
          <w:i w:val="0"/>
          <w:iCs w:val="0"/>
          <w:caps w:val="0"/>
          <w:color w:val="auto"/>
          <w:spacing w:val="0"/>
          <w:sz w:val="32"/>
          <w:szCs w:val="22"/>
          <w:highlight w:val="none"/>
          <w:shd w:val="clear"/>
          <w:lang w:val="en-US" w:eastAsia="zh-CN" w:bidi="ar-SA"/>
        </w:rPr>
        <w:t>五</w:t>
      </w: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）能配套足额自筹，与农户构建稳定利益联结机制，确保项目建设顺利实施（提供书面承诺）；</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shd w:val="clear"/>
          <w:lang w:val="en-US" w:eastAsia="zh-CN" w:bidi="ar-SA"/>
        </w:rPr>
      </w:pP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w:t>
      </w:r>
      <w:r>
        <w:rPr>
          <w:rFonts w:hint="eastAsia" w:ascii="Times New Roman" w:hAnsi="Times New Roman" w:eastAsia="方正仿宋简体" w:cstheme="minorBidi"/>
          <w:i w:val="0"/>
          <w:iCs w:val="0"/>
          <w:caps w:val="0"/>
          <w:color w:val="auto"/>
          <w:spacing w:val="0"/>
          <w:sz w:val="32"/>
          <w:szCs w:val="22"/>
          <w:highlight w:val="none"/>
          <w:shd w:val="clear"/>
          <w:lang w:val="en-US" w:eastAsia="zh-CN" w:bidi="ar-SA"/>
        </w:rPr>
        <w:t>六</w:t>
      </w: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）满足项目建设所需用地，用地合法合规。</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default" w:cstheme="minorBidi"/>
          <w:i w:val="0"/>
          <w:iCs w:val="0"/>
          <w:caps w:val="0"/>
          <w:color w:val="auto"/>
          <w:spacing w:val="0"/>
          <w:sz w:val="32"/>
          <w:szCs w:val="22"/>
          <w:highlight w:val="none"/>
          <w:shd w:val="clear"/>
          <w:lang w:val="en-US" w:eastAsia="zh-CN" w:bidi="ar-SA"/>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bidi="ar-SA"/>
        </w:rPr>
        <w:t>第</w:t>
      </w:r>
      <w:r>
        <w:rPr>
          <w:rFonts w:hint="eastAsia" w:ascii="仿宋_GB2312" w:hAnsi="仿宋_GB2312" w:eastAsia="仿宋_GB2312" w:cs="仿宋_GB2312"/>
          <w:i w:val="0"/>
          <w:iCs w:val="0"/>
          <w:caps w:val="0"/>
          <w:color w:val="auto"/>
          <w:spacing w:val="0"/>
          <w:sz w:val="32"/>
          <w:szCs w:val="32"/>
          <w:highlight w:val="none"/>
          <w:shd w:val="clear"/>
          <w:lang w:val="en-US" w:eastAsia="zh-CN" w:bidi="ar-SA"/>
        </w:rPr>
        <w:t>九</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bidi="ar-SA"/>
        </w:rPr>
        <w:t xml:space="preserve">条 </w:t>
      </w:r>
      <w:r>
        <w:rPr>
          <w:rFonts w:hint="eastAsia" w:cstheme="minorBidi"/>
          <w:i w:val="0"/>
          <w:iCs w:val="0"/>
          <w:caps w:val="0"/>
          <w:color w:val="auto"/>
          <w:spacing w:val="0"/>
          <w:sz w:val="32"/>
          <w:szCs w:val="22"/>
          <w:highlight w:val="none"/>
          <w:shd w:val="clear" w:fill="FFFFFF"/>
          <w:lang w:val="en-US" w:eastAsia="zh-CN" w:bidi="ar-SA"/>
        </w:rPr>
        <w:t>合作类项目</w:t>
      </w:r>
      <w:r>
        <w:rPr>
          <w:rFonts w:hint="eastAsia" w:cstheme="minorBidi"/>
          <w:i w:val="0"/>
          <w:iCs w:val="0"/>
          <w:caps w:val="0"/>
          <w:color w:val="auto"/>
          <w:spacing w:val="0"/>
          <w:sz w:val="32"/>
          <w:szCs w:val="22"/>
          <w:highlight w:val="none"/>
          <w:shd w:val="clear"/>
          <w:lang w:val="en-US" w:eastAsia="zh-CN" w:bidi="ar-SA"/>
        </w:rPr>
        <w:t>可采取增资扩股、优先股或合作发起设立项目企业等方式实施；也可投资建设农业产业相关的经营性资产（如标准厂房、设施设备等），再与相关企业通过租赁、付费使用等形式取得收益。</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pPr>
      <w:r>
        <w:rPr>
          <w:rFonts w:hint="eastAsia" w:ascii="仿宋_GB2312" w:hAnsi="仿宋_GB2312" w:eastAsia="仿宋_GB2312" w:cs="仿宋_GB2312"/>
          <w:i w:val="0"/>
          <w:iCs w:val="0"/>
          <w:caps w:val="0"/>
          <w:color w:val="auto"/>
          <w:spacing w:val="0"/>
          <w:sz w:val="32"/>
          <w:szCs w:val="32"/>
          <w:highlight w:val="none"/>
          <w:shd w:val="clear"/>
          <w:lang w:val="en-US" w:eastAsia="zh-CN" w:bidi="ar-SA"/>
        </w:rPr>
        <w:t xml:space="preserve">第十条 </w:t>
      </w:r>
      <w:r>
        <w:rPr>
          <w:rFonts w:hint="eastAsia" w:cstheme="minorBidi"/>
          <w:i w:val="0"/>
          <w:iCs w:val="0"/>
          <w:caps w:val="0"/>
          <w:color w:val="auto"/>
          <w:spacing w:val="0"/>
          <w:sz w:val="32"/>
          <w:szCs w:val="22"/>
          <w:highlight w:val="none"/>
          <w:shd w:val="clear"/>
          <w:lang w:val="en-US" w:eastAsia="zh-CN" w:bidi="ar-SA"/>
        </w:rPr>
        <w:t>合作类项目的合作经营</w:t>
      </w:r>
      <w:r>
        <w:rPr>
          <w:rFonts w:hint="eastAsia" w:cstheme="minorBidi"/>
          <w:i w:val="0"/>
          <w:iCs w:val="0"/>
          <w:caps w:val="0"/>
          <w:color w:val="auto"/>
          <w:spacing w:val="0"/>
          <w:sz w:val="32"/>
          <w:szCs w:val="22"/>
          <w:highlight w:val="none"/>
          <w:shd w:val="clear" w:fill="FFFFFF"/>
          <w:lang w:val="en-US" w:eastAsia="zh-CN" w:bidi="ar-SA"/>
        </w:rPr>
        <w:t>主体应该具备以下条件：</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pP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（一）具备独立法人资格、发展前景较好、主营业务与狮头鹅产业相关的农业经营主体；</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pP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（二）符合狮头鹅产业发展方向、产品竞争力强、市场潜力大、成长性好，对产业具有示范引导和带动作用；</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pP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（三）企业发展思路明确，企业及其实际控制人信用记录良好，不存在重大违法违规行为，未列入相关部门违法失信行为名单；</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pPr>
      <w:r>
        <w:rPr>
          <w:rFonts w:hint="eastAsia" w:ascii="Times New Roman" w:hAnsi="Times New Roman" w:eastAsia="方正仿宋简体" w:cstheme="minorBidi"/>
          <w:i w:val="0"/>
          <w:iCs w:val="0"/>
          <w:caps w:val="0"/>
          <w:color w:val="auto"/>
          <w:spacing w:val="0"/>
          <w:sz w:val="32"/>
          <w:szCs w:val="22"/>
          <w:highlight w:val="none"/>
          <w:shd w:val="clear" w:fill="FFFFFF"/>
          <w:lang w:val="en-US" w:eastAsia="zh-CN" w:bidi="ar-SA"/>
        </w:rPr>
        <w:t>（四）财务管理制度健全，会计核算规范。</w:t>
      </w:r>
    </w:p>
    <w:p>
      <w:pPr>
        <w:keepNext w:val="0"/>
        <w:keepLines w:val="0"/>
        <w:pageBreakBefore w:val="0"/>
        <w:widowControl w:val="0"/>
        <w:suppressLineNumbers w:val="0"/>
        <w:pBdr>
          <w:top w:val="none" w:color="auto" w:sz="0" w:space="0"/>
          <w:left w:val="none" w:color="auto" w:sz="0" w:space="0"/>
          <w:right w:val="none" w:color="auto" w:sz="0" w:space="0"/>
        </w:pBdr>
        <w:shd w:val="clear" w:fill="FFFFFF"/>
        <w:wordWrap/>
        <w:overflowPunct/>
        <w:topLinePunct w:val="0"/>
        <w:bidi w:val="0"/>
        <w:adjustRightInd w:val="0"/>
        <w:snapToGrid w:val="0"/>
        <w:spacing w:before="0" w:beforeAutospacing="0" w:after="0" w:afterAutospacing="0"/>
        <w:ind w:left="0" w:right="0" w:firstLine="632"/>
        <w:jc w:val="left"/>
        <w:rPr>
          <w:rFonts w:hint="eastAsia"/>
          <w:color w:val="auto"/>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lang w:val="en-US" w:eastAsia="zh-CN" w:bidi="ar-SA"/>
        </w:rPr>
        <w:t xml:space="preserve">第十一条 </w:t>
      </w:r>
      <w:r>
        <w:rPr>
          <w:rFonts w:hint="eastAsia" w:cstheme="minorBidi"/>
          <w:i w:val="0"/>
          <w:iCs w:val="0"/>
          <w:caps w:val="0"/>
          <w:color w:val="auto"/>
          <w:spacing w:val="0"/>
          <w:sz w:val="32"/>
          <w:szCs w:val="22"/>
          <w:highlight w:val="none"/>
          <w:shd w:val="clear"/>
          <w:lang w:val="en-US" w:eastAsia="zh-CN" w:bidi="ar-SA"/>
        </w:rPr>
        <w:t>产业园建设项目、建设主体、投资金额等经区政府</w:t>
      </w:r>
      <w:r>
        <w:rPr>
          <w:rFonts w:hint="eastAsia"/>
          <w:color w:val="auto"/>
          <w:highlight w:val="none"/>
          <w:lang w:val="en-US" w:eastAsia="zh-CN"/>
        </w:rPr>
        <w:t>会议研究通过后，在区人民政府官网公示中央财政奖补资金支持项目的建设主体、建设内容和使用奖补金额等事项。</w:t>
      </w:r>
    </w:p>
    <w:p>
      <w:pPr>
        <w:pStyle w:val="3"/>
        <w:keepNext w:val="0"/>
        <w:keepLines w:val="0"/>
        <w:pageBreakBefore w:val="0"/>
        <w:widowControl w:val="0"/>
        <w:wordWrap/>
        <w:overflowPunct/>
        <w:topLinePunct w:val="0"/>
        <w:bidi w:val="0"/>
        <w:adjustRightInd w:val="0"/>
        <w:snapToGrid w:val="0"/>
        <w:ind w:firstLine="632"/>
        <w:rPr>
          <w:rFonts w:hint="eastAsia"/>
        </w:rPr>
      </w:pPr>
      <w:r>
        <w:rPr>
          <w:rFonts w:hint="eastAsia"/>
        </w:rPr>
        <w:t>第</w:t>
      </w:r>
      <w:r>
        <w:rPr>
          <w:rFonts w:hint="eastAsia"/>
          <w:lang w:val="en-US" w:eastAsia="zh-CN"/>
        </w:rPr>
        <w:t>五</w:t>
      </w:r>
      <w:r>
        <w:rPr>
          <w:rFonts w:hint="eastAsia"/>
        </w:rPr>
        <w:t>章 项目管理</w:t>
      </w:r>
    </w:p>
    <w:p>
      <w:pPr>
        <w:keepNext w:val="0"/>
        <w:keepLines w:val="0"/>
        <w:pageBreakBefore w:val="0"/>
        <w:widowControl w:val="0"/>
        <w:wordWrap/>
        <w:overflowPunct/>
        <w:topLinePunct w:val="0"/>
        <w:bidi w:val="0"/>
        <w:adjustRightInd w:val="0"/>
        <w:snapToGrid w:val="0"/>
        <w:rPr>
          <w:rFonts w:hint="default" w:eastAsia="方正仿宋简体"/>
          <w:lang w:val="en-US" w:eastAsia="zh-CN"/>
        </w:rPr>
      </w:pPr>
      <w:r>
        <w:rPr>
          <w:rFonts w:hint="eastAsia" w:ascii="仿宋_GB2312" w:hAnsi="仿宋_GB2312" w:eastAsia="仿宋_GB2312" w:cs="仿宋_GB2312"/>
          <w:szCs w:val="32"/>
          <w:lang w:val="en-US" w:eastAsia="zh-CN"/>
        </w:rPr>
        <w:t>第十二条</w:t>
      </w:r>
      <w:r>
        <w:rPr>
          <w:rFonts w:hint="eastAsia"/>
          <w:lang w:val="en-US" w:eastAsia="zh-CN"/>
        </w:rPr>
        <w:t xml:space="preserve"> 产业园建设主体需严格按照批准后的《广东省汕头市澄海区国家现代农业产业园建设方案》《广东省汕头市澄海区国家现代农业产业园中央财政奖补资金使用方案》开展建设。</w:t>
      </w:r>
    </w:p>
    <w:p>
      <w:pPr>
        <w:keepNext w:val="0"/>
        <w:keepLines w:val="0"/>
        <w:pageBreakBefore w:val="0"/>
        <w:widowControl w:val="0"/>
        <w:wordWrap/>
        <w:overflowPunct/>
        <w:topLinePunct w:val="0"/>
        <w:bidi w:val="0"/>
        <w:adjustRightInd w:val="0"/>
        <w:snapToGrid w:val="0"/>
        <w:ind w:firstLine="634"/>
      </w:pPr>
      <w:r>
        <w:rPr>
          <w:rFonts w:hint="eastAsia" w:ascii="仿宋_GB2312" w:hAnsi="仿宋_GB2312" w:eastAsia="仿宋_GB2312" w:cs="仿宋_GB2312"/>
          <w:szCs w:val="32"/>
          <w:lang w:val="en-US" w:eastAsia="zh-CN"/>
        </w:rPr>
        <w:t>第十三条</w:t>
      </w:r>
      <w:r>
        <w:rPr>
          <w:rFonts w:hint="eastAsia"/>
          <w:b/>
          <w:bCs/>
        </w:rPr>
        <w:t xml:space="preserve"> </w:t>
      </w:r>
      <w:r>
        <w:rPr>
          <w:rFonts w:hint="eastAsia"/>
        </w:rPr>
        <w:t>项目按《中华人民共和国招标投标法》和《中华人民共和国政府采购法》等有关规定需进行招投标和政府采购的，由</w:t>
      </w:r>
      <w:r>
        <w:rPr>
          <w:rFonts w:hint="eastAsia"/>
          <w:lang w:eastAsia="zh-CN"/>
        </w:rPr>
        <w:t>建设主体</w:t>
      </w:r>
      <w:r>
        <w:rPr>
          <w:rFonts w:hint="eastAsia"/>
        </w:rPr>
        <w:t>自行组织财政资金支出项目的招标和采购工作。</w:t>
      </w:r>
    </w:p>
    <w:p>
      <w:pPr>
        <w:keepNext w:val="0"/>
        <w:keepLines w:val="0"/>
        <w:pageBreakBefore w:val="0"/>
        <w:widowControl w:val="0"/>
        <w:wordWrap/>
        <w:overflowPunct/>
        <w:topLinePunct w:val="0"/>
        <w:bidi w:val="0"/>
        <w:adjustRightInd w:val="0"/>
        <w:snapToGrid w:val="0"/>
        <w:ind w:firstLine="632"/>
        <w:rPr>
          <w:rFonts w:hint="eastAsia"/>
        </w:rPr>
      </w:pPr>
      <w:r>
        <w:rPr>
          <w:rFonts w:hint="eastAsia" w:ascii="仿宋_GB2312" w:hAnsi="仿宋_GB2312" w:eastAsia="仿宋_GB2312" w:cs="仿宋_GB2312"/>
          <w:szCs w:val="32"/>
          <w:lang w:val="en-US" w:eastAsia="zh-CN"/>
        </w:rPr>
        <w:t>第十四条</w:t>
      </w:r>
      <w:r>
        <w:rPr>
          <w:rFonts w:hint="eastAsia" w:cstheme="minorBidi"/>
          <w:b/>
          <w:bCs/>
          <w:szCs w:val="22"/>
        </w:rPr>
        <w:t xml:space="preserve"> </w:t>
      </w:r>
      <w:r>
        <w:rPr>
          <w:rFonts w:hint="eastAsia"/>
        </w:rPr>
        <w:t>项目实施期间，由产业园</w:t>
      </w:r>
      <w:r>
        <w:rPr>
          <w:rFonts w:hint="eastAsia"/>
          <w:lang w:val="en-US" w:eastAsia="zh-CN"/>
        </w:rPr>
        <w:t>建设</w:t>
      </w:r>
      <w:r>
        <w:rPr>
          <w:rFonts w:hint="eastAsia"/>
        </w:rPr>
        <w:t>领导小组办公室对照建设方案和资金使用方案要求，组织进行现场核查，强化产业园项目建设监督，确保</w:t>
      </w:r>
      <w:r>
        <w:rPr>
          <w:rFonts w:hint="eastAsia"/>
          <w:lang w:eastAsia="zh-CN"/>
        </w:rPr>
        <w:t>建设主体</w:t>
      </w:r>
      <w:r>
        <w:rPr>
          <w:rFonts w:hint="eastAsia"/>
        </w:rPr>
        <w:t>依法依规完成项目建设。</w:t>
      </w:r>
    </w:p>
    <w:p>
      <w:pPr>
        <w:pStyle w:val="3"/>
        <w:keepNext w:val="0"/>
        <w:keepLines w:val="0"/>
        <w:pageBreakBefore w:val="0"/>
        <w:widowControl w:val="0"/>
        <w:wordWrap/>
        <w:overflowPunct/>
        <w:topLinePunct w:val="0"/>
        <w:bidi w:val="0"/>
        <w:adjustRightInd w:val="0"/>
        <w:snapToGrid w:val="0"/>
        <w:ind w:firstLine="632"/>
      </w:pPr>
      <w:r>
        <w:rPr>
          <w:rFonts w:hint="eastAsia"/>
        </w:rPr>
        <w:t>第</w:t>
      </w:r>
      <w:r>
        <w:rPr>
          <w:rFonts w:hint="eastAsia"/>
          <w:lang w:val="en-US" w:eastAsia="zh-CN"/>
        </w:rPr>
        <w:t>六</w:t>
      </w:r>
      <w:r>
        <w:rPr>
          <w:rFonts w:hint="eastAsia"/>
        </w:rPr>
        <w:t>章 资金管理</w:t>
      </w:r>
    </w:p>
    <w:p>
      <w:pPr>
        <w:keepNext w:val="0"/>
        <w:keepLines w:val="0"/>
        <w:pageBreakBefore w:val="0"/>
        <w:widowControl w:val="0"/>
        <w:wordWrap/>
        <w:overflowPunct/>
        <w:topLinePunct w:val="0"/>
        <w:bidi w:val="0"/>
        <w:adjustRightInd w:val="0"/>
        <w:snapToGrid w:val="0"/>
        <w:ind w:firstLine="632"/>
      </w:pPr>
      <w:r>
        <w:rPr>
          <w:rFonts w:hint="eastAsia" w:ascii="仿宋_GB2312" w:hAnsi="仿宋_GB2312" w:eastAsia="仿宋_GB2312" w:cs="仿宋_GB2312"/>
          <w:szCs w:val="32"/>
          <w:lang w:val="en-US" w:eastAsia="zh-CN"/>
        </w:rPr>
        <w:t>第十五条</w:t>
      </w:r>
      <w:r>
        <w:rPr>
          <w:rFonts w:hint="eastAsia"/>
        </w:rPr>
        <w:t xml:space="preserve"> 中央财政奖补资金使用按照《广东省汕头市澄海区国家现代农业产业园中央财政奖补资金管理办法》的规定执行。</w:t>
      </w:r>
    </w:p>
    <w:p>
      <w:pPr>
        <w:keepNext w:val="0"/>
        <w:keepLines w:val="0"/>
        <w:pageBreakBefore w:val="0"/>
        <w:widowControl w:val="0"/>
        <w:wordWrap/>
        <w:overflowPunct/>
        <w:topLinePunct w:val="0"/>
        <w:bidi w:val="0"/>
        <w:adjustRightInd w:val="0"/>
        <w:snapToGrid w:val="0"/>
        <w:ind w:firstLine="632"/>
        <w:rPr>
          <w:rFonts w:hint="eastAsia"/>
        </w:rPr>
      </w:pPr>
      <w:r>
        <w:rPr>
          <w:rFonts w:hint="eastAsia" w:ascii="仿宋_GB2312" w:hAnsi="仿宋_GB2312" w:eastAsia="仿宋_GB2312" w:cs="仿宋_GB2312"/>
          <w:szCs w:val="32"/>
          <w:lang w:val="en-US" w:eastAsia="zh-CN"/>
        </w:rPr>
        <w:t>第十六条</w:t>
      </w:r>
      <w:r>
        <w:rPr>
          <w:rFonts w:hint="eastAsia"/>
        </w:rPr>
        <w:t xml:space="preserve"> </w:t>
      </w:r>
      <w:r>
        <w:rPr>
          <w:rFonts w:hint="eastAsia"/>
          <w:lang w:eastAsia="zh-CN"/>
        </w:rPr>
        <w:t>建设主体</w:t>
      </w:r>
      <w:r>
        <w:rPr>
          <w:rFonts w:hint="eastAsia"/>
        </w:rPr>
        <w:t>对项目实施和资金使用负责，具体组织项目实施，加强财务管理，建立产业园建设项目专账，并接受验收、监督检查和绩效评价。</w:t>
      </w:r>
    </w:p>
    <w:p>
      <w:pPr>
        <w:keepNext w:val="0"/>
        <w:keepLines w:val="0"/>
        <w:pageBreakBefore w:val="0"/>
        <w:widowControl w:val="0"/>
        <w:wordWrap/>
        <w:overflowPunct/>
        <w:topLinePunct w:val="0"/>
        <w:bidi w:val="0"/>
        <w:adjustRightInd w:val="0"/>
        <w:snapToGrid w:val="0"/>
        <w:ind w:firstLine="632"/>
      </w:pPr>
      <w:r>
        <w:rPr>
          <w:rFonts w:hint="eastAsia" w:ascii="仿宋_GB2312" w:hAnsi="仿宋_GB2312" w:eastAsia="仿宋_GB2312" w:cs="仿宋_GB2312"/>
          <w:szCs w:val="32"/>
        </w:rPr>
        <w:t>第</w:t>
      </w:r>
      <w:r>
        <w:rPr>
          <w:rFonts w:hint="eastAsia" w:ascii="仿宋_GB2312" w:hAnsi="仿宋_GB2312" w:eastAsia="仿宋_GB2312" w:cs="仿宋_GB2312"/>
          <w:szCs w:val="32"/>
          <w:lang w:val="en-US" w:eastAsia="zh-CN"/>
        </w:rPr>
        <w:t>十七</w:t>
      </w:r>
      <w:r>
        <w:rPr>
          <w:rFonts w:hint="eastAsia" w:ascii="仿宋_GB2312" w:hAnsi="仿宋_GB2312" w:eastAsia="仿宋_GB2312" w:cs="仿宋_GB2312"/>
          <w:szCs w:val="32"/>
        </w:rPr>
        <w:t>条</w:t>
      </w:r>
      <w:r>
        <w:rPr>
          <w:rFonts w:hint="eastAsia"/>
        </w:rPr>
        <w:t xml:space="preserve"> 中央财政奖补资金由区农业农村局会同区财政局遵循规范管理、严格审批、绩效优先、公平公开、强化监督的原则共同管理。</w:t>
      </w:r>
    </w:p>
    <w:p>
      <w:pPr>
        <w:pStyle w:val="3"/>
        <w:keepNext w:val="0"/>
        <w:keepLines w:val="0"/>
        <w:pageBreakBefore w:val="0"/>
        <w:widowControl w:val="0"/>
        <w:wordWrap/>
        <w:overflowPunct/>
        <w:topLinePunct w:val="0"/>
        <w:bidi w:val="0"/>
        <w:adjustRightInd w:val="0"/>
        <w:snapToGrid w:val="0"/>
        <w:ind w:firstLine="632"/>
      </w:pPr>
      <w:r>
        <w:rPr>
          <w:rFonts w:hint="eastAsia"/>
        </w:rPr>
        <w:t>第</w:t>
      </w:r>
      <w:r>
        <w:rPr>
          <w:rFonts w:hint="eastAsia"/>
          <w:lang w:val="en-US" w:eastAsia="zh-CN"/>
        </w:rPr>
        <w:t>七</w:t>
      </w:r>
      <w:r>
        <w:rPr>
          <w:rFonts w:hint="eastAsia"/>
        </w:rPr>
        <w:t>章 项目验收</w:t>
      </w:r>
    </w:p>
    <w:p>
      <w:pPr>
        <w:keepNext w:val="0"/>
        <w:keepLines w:val="0"/>
        <w:pageBreakBefore w:val="0"/>
        <w:widowControl w:val="0"/>
        <w:wordWrap/>
        <w:overflowPunct/>
        <w:topLinePunct w:val="0"/>
        <w:bidi w:val="0"/>
        <w:adjustRightInd w:val="0"/>
        <w:snapToGrid w:val="0"/>
        <w:ind w:firstLine="632"/>
        <w:rPr>
          <w:rFonts w:hint="default" w:ascii="仿宋_GB2312" w:hAnsi="仿宋_GB2312" w:eastAsia="方正仿宋简体" w:cs="仿宋_GB2312"/>
          <w:szCs w:val="32"/>
          <w:lang w:val="en-US" w:eastAsia="zh-CN"/>
        </w:rPr>
      </w:pPr>
      <w:r>
        <w:rPr>
          <w:rFonts w:hint="eastAsia" w:ascii="仿宋_GB2312" w:hAnsi="仿宋_GB2312" w:eastAsia="仿宋_GB2312" w:cs="仿宋_GB2312"/>
          <w:szCs w:val="32"/>
        </w:rPr>
        <w:t>第</w:t>
      </w:r>
      <w:r>
        <w:rPr>
          <w:rFonts w:hint="eastAsia" w:ascii="仿宋_GB2312" w:hAnsi="仿宋_GB2312" w:eastAsia="仿宋_GB2312" w:cs="仿宋_GB2312"/>
          <w:szCs w:val="32"/>
          <w:lang w:val="en-US" w:eastAsia="zh-CN"/>
        </w:rPr>
        <w:t>十八</w:t>
      </w:r>
      <w:r>
        <w:rPr>
          <w:rFonts w:hint="eastAsia" w:ascii="仿宋_GB2312" w:hAnsi="仿宋_GB2312" w:eastAsia="仿宋_GB2312" w:cs="仿宋_GB2312"/>
          <w:szCs w:val="32"/>
        </w:rPr>
        <w:t>条</w:t>
      </w:r>
      <w:r>
        <w:rPr>
          <w:rFonts w:hint="eastAsia"/>
        </w:rPr>
        <w:t xml:space="preserve"> 项目验收</w:t>
      </w:r>
      <w:r>
        <w:rPr>
          <w:rFonts w:hint="eastAsia"/>
          <w:lang w:val="en-US" w:eastAsia="zh-CN"/>
        </w:rPr>
        <w:t>按照《汕头市澄海区狮头鹅国家现代农业产业园项目验收工作方案》的规定执行。</w:t>
      </w:r>
    </w:p>
    <w:p>
      <w:pPr>
        <w:keepNext w:val="0"/>
        <w:keepLines w:val="0"/>
        <w:pageBreakBefore w:val="0"/>
        <w:widowControl w:val="0"/>
        <w:wordWrap/>
        <w:overflowPunct/>
        <w:topLinePunct w:val="0"/>
        <w:bidi w:val="0"/>
        <w:adjustRightInd w:val="0"/>
        <w:snapToGrid w:val="0"/>
        <w:ind w:firstLine="632"/>
      </w:pPr>
      <w:r>
        <w:rPr>
          <w:rFonts w:hint="eastAsia" w:ascii="仿宋_GB2312" w:hAnsi="仿宋_GB2312" w:eastAsia="仿宋_GB2312" w:cs="仿宋_GB2312"/>
          <w:szCs w:val="32"/>
          <w:lang w:val="en-US" w:eastAsia="zh-CN"/>
        </w:rPr>
        <w:t>第十九条</w:t>
      </w:r>
      <w:r>
        <w:rPr>
          <w:rFonts w:hint="eastAsia" w:cs="仿宋_GB2312"/>
          <w:szCs w:val="32"/>
        </w:rPr>
        <w:t xml:space="preserve"> </w:t>
      </w:r>
      <w:r>
        <w:rPr>
          <w:rFonts w:hint="eastAsia"/>
        </w:rPr>
        <w:t>绩效认定。在绩效目标实施期内的每一年度，产业园管委会根据国家现代农业产业园绩效评估要求，对产业园项目建设与运行情况开展绩效自评。</w:t>
      </w:r>
    </w:p>
    <w:p>
      <w:pPr>
        <w:keepNext w:val="0"/>
        <w:keepLines w:val="0"/>
        <w:pageBreakBefore w:val="0"/>
        <w:widowControl w:val="0"/>
        <w:wordWrap/>
        <w:overflowPunct/>
        <w:topLinePunct w:val="0"/>
        <w:bidi w:val="0"/>
        <w:adjustRightInd w:val="0"/>
        <w:snapToGrid w:val="0"/>
        <w:ind w:firstLine="632"/>
      </w:pPr>
      <w:r>
        <w:rPr>
          <w:rFonts w:hint="eastAsia" w:ascii="仿宋_GB2312" w:hAnsi="仿宋_GB2312" w:eastAsia="仿宋_GB2312" w:cs="仿宋_GB2312"/>
          <w:szCs w:val="32"/>
        </w:rPr>
        <w:t>第二十条</w:t>
      </w:r>
      <w:r>
        <w:rPr>
          <w:rFonts w:hint="eastAsia"/>
        </w:rPr>
        <w:t xml:space="preserve"> 建立产业园资产管理机制，对产业园验收后三年内，实行</w:t>
      </w:r>
      <w:r>
        <w:rPr>
          <w:rFonts w:hint="eastAsia"/>
          <w:lang w:eastAsia="zh-CN"/>
        </w:rPr>
        <w:t>建设主体</w:t>
      </w:r>
      <w:r>
        <w:rPr>
          <w:rFonts w:hint="eastAsia"/>
        </w:rPr>
        <w:t>按年度向区人民政府报告制度。</w:t>
      </w:r>
      <w:r>
        <w:rPr>
          <w:rFonts w:hint="eastAsia"/>
          <w:lang w:eastAsia="zh-CN"/>
        </w:rPr>
        <w:t>建设主体</w:t>
      </w:r>
      <w:r>
        <w:rPr>
          <w:rFonts w:hint="eastAsia"/>
        </w:rPr>
        <w:t>对企业年度报告和重大事项报告的真实性、准确性、及时性负责。对未及时报告或报告情况虚假的，由责任主体对其进行约谈。</w:t>
      </w:r>
    </w:p>
    <w:p>
      <w:pPr>
        <w:pStyle w:val="3"/>
        <w:keepNext w:val="0"/>
        <w:keepLines w:val="0"/>
        <w:pageBreakBefore w:val="0"/>
        <w:widowControl w:val="0"/>
        <w:wordWrap/>
        <w:overflowPunct/>
        <w:topLinePunct w:val="0"/>
        <w:bidi w:val="0"/>
        <w:adjustRightInd w:val="0"/>
        <w:snapToGrid w:val="0"/>
        <w:ind w:firstLine="632"/>
      </w:pPr>
      <w:r>
        <w:rPr>
          <w:rFonts w:hint="eastAsia"/>
        </w:rPr>
        <w:t>第</w:t>
      </w:r>
      <w:r>
        <w:rPr>
          <w:rFonts w:hint="eastAsia"/>
          <w:lang w:val="en-US" w:eastAsia="zh-CN"/>
        </w:rPr>
        <w:t>八</w:t>
      </w:r>
      <w:r>
        <w:rPr>
          <w:rFonts w:hint="eastAsia"/>
        </w:rPr>
        <w:t>章 附则</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textAlignment w:val="baseline"/>
      </w:pPr>
      <w:r>
        <w:rPr>
          <w:rFonts w:hint="eastAsia" w:ascii="仿宋_GB2312" w:hAnsi="仿宋_GB2312" w:eastAsia="仿宋_GB2312" w:cs="仿宋_GB2312"/>
          <w:szCs w:val="32"/>
        </w:rPr>
        <w:t>第</w:t>
      </w:r>
      <w:r>
        <w:rPr>
          <w:rFonts w:hint="eastAsia" w:ascii="仿宋_GB2312" w:hAnsi="仿宋_GB2312" w:eastAsia="仿宋_GB2312" w:cs="仿宋_GB2312"/>
          <w:szCs w:val="32"/>
          <w:lang w:val="en-US" w:eastAsia="zh-CN"/>
        </w:rPr>
        <w:t>二十一</w:t>
      </w:r>
      <w:r>
        <w:rPr>
          <w:rFonts w:hint="eastAsia" w:ascii="仿宋_GB2312" w:hAnsi="仿宋_GB2312" w:eastAsia="仿宋_GB2312" w:cs="仿宋_GB2312"/>
          <w:szCs w:val="32"/>
        </w:rPr>
        <w:t>条</w:t>
      </w:r>
      <w:r>
        <w:rPr>
          <w:rFonts w:hint="eastAsia" w:cs="仿宋_GB2312"/>
          <w:szCs w:val="32"/>
        </w:rPr>
        <w:t xml:space="preserve"> </w:t>
      </w:r>
      <w:r>
        <w:rPr>
          <w:rFonts w:hint="eastAsia"/>
        </w:rPr>
        <w:t>本制度由产业园</w:t>
      </w:r>
      <w:r>
        <w:rPr>
          <w:rFonts w:hint="eastAsia"/>
          <w:lang w:val="en-US" w:eastAsia="zh-CN"/>
        </w:rPr>
        <w:t>建设</w:t>
      </w:r>
      <w:r>
        <w:rPr>
          <w:rFonts w:hint="eastAsia"/>
        </w:rPr>
        <w:t>领导小组办公室负责解释</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textAlignment w:val="baseline"/>
      </w:pPr>
      <w:r>
        <w:rPr>
          <w:rFonts w:hint="eastAsia" w:ascii="仿宋_GB2312" w:hAnsi="仿宋_GB2312" w:eastAsia="仿宋_GB2312" w:cs="仿宋_GB2312"/>
          <w:szCs w:val="32"/>
        </w:rPr>
        <w:t>第二十</w:t>
      </w: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rPr>
        <w:t>条</w:t>
      </w:r>
      <w:r>
        <w:rPr>
          <w:rFonts w:hint="eastAsia" w:cs="仿宋_GB2312"/>
          <w:szCs w:val="32"/>
        </w:rPr>
        <w:t xml:space="preserve"> </w:t>
      </w:r>
      <w:r>
        <w:rPr>
          <w:rFonts w:hint="eastAsia"/>
        </w:rPr>
        <w:t>本制度如与上级有关规定不一致的，以上级有关规定为准。</w:t>
      </w:r>
    </w:p>
    <w:bookmarkEnd w:id="0"/>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814" w:left="1588" w:header="709" w:footer="709" w:gutter="0"/>
      <w:cols w:space="708" w:num="1"/>
      <w:titlePg/>
      <w:docGrid w:type="linesAndChars" w:linePitch="59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3000509000000000000"/>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jc w:val="right"/>
    </w:pPr>
    <w:r>
      <w:rPr>
        <w:rFonts w:hint="eastAsia" w:ascii="宋体" w:hAnsi="宋体" w:eastAsia="宋体"/>
        <w:sz w:val="28"/>
      </w:rPr>
      <w:t>—</w:t>
    </w:r>
    <w:sdt>
      <w:sdtPr>
        <w:rPr>
          <w:rFonts w:ascii="宋体" w:hAnsi="宋体" w:eastAsia="宋体"/>
          <w:sz w:val="28"/>
        </w:rPr>
        <w:id w:val="14968131"/>
      </w:sdtPr>
      <w:sdtEndPr>
        <w:rPr>
          <w:rFonts w:ascii="Times New Roman" w:hAnsi="Times New Roman" w:eastAsia="方正仿宋简体"/>
          <w:sz w:val="18"/>
        </w:rPr>
      </w:sdtEndPr>
      <w:sdtContent>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7</w:t>
        </w:r>
        <w:r>
          <w:rPr>
            <w:rFonts w:ascii="宋体" w:hAnsi="宋体" w:eastAsia="宋体"/>
            <w:sz w:val="28"/>
          </w:rPr>
          <w:fldChar w:fldCharType="end"/>
        </w:r>
        <w:r>
          <w:rPr>
            <w:rFonts w:hint="eastAsia" w:ascii="宋体" w:hAnsi="宋体" w:eastAsia="宋体"/>
            <w:sz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w:rPr>
        <w:rFonts w:hint="eastAsia" w:ascii="宋体" w:hAnsi="宋体" w:eastAsia="宋体"/>
        <w:sz w:val="28"/>
      </w:rPr>
      <w:t>—</w:t>
    </w:r>
    <w:sdt>
      <w:sdtPr>
        <w:rPr>
          <w:rFonts w:ascii="宋体" w:hAnsi="宋体" w:eastAsia="宋体"/>
          <w:sz w:val="28"/>
        </w:rPr>
        <w:id w:val="14968125"/>
      </w:sdtPr>
      <w:sdtEndPr>
        <w:rPr>
          <w:rFonts w:ascii="Times New Roman" w:hAnsi="Times New Roman" w:eastAsia="方正仿宋简体"/>
          <w:sz w:val="18"/>
        </w:rPr>
      </w:sdtEndPr>
      <w:sdtContent>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2</w:t>
        </w:r>
        <w:r>
          <w:rPr>
            <w:rFonts w:ascii="宋体" w:hAnsi="宋体" w:eastAsia="宋体"/>
            <w:sz w:val="28"/>
          </w:rPr>
          <w:fldChar w:fldCharType="end"/>
        </w:r>
        <w:r>
          <w:rPr>
            <w:rFonts w:hint="eastAsia" w:ascii="宋体" w:hAnsi="宋体" w:eastAsia="宋体"/>
            <w:sz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56F05"/>
    <w:multiLevelType w:val="singleLevel"/>
    <w:tmpl w:val="C4C56F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58"/>
  <w:drawingGridVerticalSpacing w:val="295"/>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NGEyNmRlYmZiOWZiYTgxNjM5Yzg1NmMxNTNkOTkifQ=="/>
  </w:docVars>
  <w:rsids>
    <w:rsidRoot w:val="00D31D50"/>
    <w:rsid w:val="00007C5B"/>
    <w:rsid w:val="00016D91"/>
    <w:rsid w:val="00026148"/>
    <w:rsid w:val="000438DC"/>
    <w:rsid w:val="00067A22"/>
    <w:rsid w:val="00076F60"/>
    <w:rsid w:val="000B2BD1"/>
    <w:rsid w:val="000F2147"/>
    <w:rsid w:val="00102B85"/>
    <w:rsid w:val="00112FAF"/>
    <w:rsid w:val="00123C03"/>
    <w:rsid w:val="00141CA4"/>
    <w:rsid w:val="001441AF"/>
    <w:rsid w:val="001844CB"/>
    <w:rsid w:val="001C5B32"/>
    <w:rsid w:val="001C740C"/>
    <w:rsid w:val="00267FBC"/>
    <w:rsid w:val="0027157D"/>
    <w:rsid w:val="00283FBE"/>
    <w:rsid w:val="002A6C3E"/>
    <w:rsid w:val="002C3EE5"/>
    <w:rsid w:val="002D0E5A"/>
    <w:rsid w:val="00307FA0"/>
    <w:rsid w:val="00323B43"/>
    <w:rsid w:val="003674AA"/>
    <w:rsid w:val="00371A79"/>
    <w:rsid w:val="00377219"/>
    <w:rsid w:val="00386CF1"/>
    <w:rsid w:val="003A160E"/>
    <w:rsid w:val="003A1C4E"/>
    <w:rsid w:val="003B5DBF"/>
    <w:rsid w:val="003D37D8"/>
    <w:rsid w:val="003F3649"/>
    <w:rsid w:val="004019EF"/>
    <w:rsid w:val="00426133"/>
    <w:rsid w:val="004358AB"/>
    <w:rsid w:val="00464F34"/>
    <w:rsid w:val="0048680B"/>
    <w:rsid w:val="004C3057"/>
    <w:rsid w:val="0051749D"/>
    <w:rsid w:val="005276E5"/>
    <w:rsid w:val="0054792D"/>
    <w:rsid w:val="00552952"/>
    <w:rsid w:val="0057064E"/>
    <w:rsid w:val="00572579"/>
    <w:rsid w:val="00590935"/>
    <w:rsid w:val="005B0E76"/>
    <w:rsid w:val="005B2929"/>
    <w:rsid w:val="005D3CBC"/>
    <w:rsid w:val="00655ADA"/>
    <w:rsid w:val="00675F75"/>
    <w:rsid w:val="00681025"/>
    <w:rsid w:val="006E677F"/>
    <w:rsid w:val="006F3352"/>
    <w:rsid w:val="00702A5E"/>
    <w:rsid w:val="00715C26"/>
    <w:rsid w:val="00727000"/>
    <w:rsid w:val="00727DA9"/>
    <w:rsid w:val="00774876"/>
    <w:rsid w:val="00786D79"/>
    <w:rsid w:val="007A56D6"/>
    <w:rsid w:val="007C039F"/>
    <w:rsid w:val="007F25E3"/>
    <w:rsid w:val="007F5B8F"/>
    <w:rsid w:val="007F7FAD"/>
    <w:rsid w:val="00846DA4"/>
    <w:rsid w:val="008919FA"/>
    <w:rsid w:val="008A6348"/>
    <w:rsid w:val="008B6FF9"/>
    <w:rsid w:val="008B7726"/>
    <w:rsid w:val="008E0694"/>
    <w:rsid w:val="008E7749"/>
    <w:rsid w:val="00922497"/>
    <w:rsid w:val="00943343"/>
    <w:rsid w:val="0099330A"/>
    <w:rsid w:val="009D372F"/>
    <w:rsid w:val="00A246A4"/>
    <w:rsid w:val="00A35114"/>
    <w:rsid w:val="00A45CF1"/>
    <w:rsid w:val="00A62DBC"/>
    <w:rsid w:val="00A81A2A"/>
    <w:rsid w:val="00AA077F"/>
    <w:rsid w:val="00AB35E1"/>
    <w:rsid w:val="00AB3723"/>
    <w:rsid w:val="00AF2497"/>
    <w:rsid w:val="00B0750D"/>
    <w:rsid w:val="00B11459"/>
    <w:rsid w:val="00B34117"/>
    <w:rsid w:val="00B55A35"/>
    <w:rsid w:val="00B70340"/>
    <w:rsid w:val="00B76F80"/>
    <w:rsid w:val="00B77F81"/>
    <w:rsid w:val="00B976DF"/>
    <w:rsid w:val="00BA4195"/>
    <w:rsid w:val="00BA5482"/>
    <w:rsid w:val="00BB2928"/>
    <w:rsid w:val="00BD63E9"/>
    <w:rsid w:val="00C21E25"/>
    <w:rsid w:val="00C3232A"/>
    <w:rsid w:val="00C417D5"/>
    <w:rsid w:val="00C56A15"/>
    <w:rsid w:val="00CA4FE7"/>
    <w:rsid w:val="00CC4921"/>
    <w:rsid w:val="00CE30A6"/>
    <w:rsid w:val="00CF4FF0"/>
    <w:rsid w:val="00D02F34"/>
    <w:rsid w:val="00D27FFE"/>
    <w:rsid w:val="00D31D50"/>
    <w:rsid w:val="00D35934"/>
    <w:rsid w:val="00D45EE0"/>
    <w:rsid w:val="00D85AE6"/>
    <w:rsid w:val="00DE4C74"/>
    <w:rsid w:val="00E11B6F"/>
    <w:rsid w:val="00E67C33"/>
    <w:rsid w:val="00EA1DCE"/>
    <w:rsid w:val="00EA7DA4"/>
    <w:rsid w:val="00EC7793"/>
    <w:rsid w:val="00F0360D"/>
    <w:rsid w:val="00F079EE"/>
    <w:rsid w:val="00F1316D"/>
    <w:rsid w:val="00F365F3"/>
    <w:rsid w:val="00F72199"/>
    <w:rsid w:val="00F72C33"/>
    <w:rsid w:val="02963E05"/>
    <w:rsid w:val="08BA6A96"/>
    <w:rsid w:val="0A9FBD98"/>
    <w:rsid w:val="0B420FC5"/>
    <w:rsid w:val="11DA1F57"/>
    <w:rsid w:val="15B825AF"/>
    <w:rsid w:val="15FD4466"/>
    <w:rsid w:val="172F4AF3"/>
    <w:rsid w:val="18504326"/>
    <w:rsid w:val="1A566A1A"/>
    <w:rsid w:val="1A66082C"/>
    <w:rsid w:val="1B9118D8"/>
    <w:rsid w:val="1D0C1F80"/>
    <w:rsid w:val="1DE1451E"/>
    <w:rsid w:val="250C6E1D"/>
    <w:rsid w:val="294D2BB7"/>
    <w:rsid w:val="2D4B3392"/>
    <w:rsid w:val="2E7E7923"/>
    <w:rsid w:val="35635C3C"/>
    <w:rsid w:val="3B0E664A"/>
    <w:rsid w:val="3D8C3A45"/>
    <w:rsid w:val="442B201A"/>
    <w:rsid w:val="444C2685"/>
    <w:rsid w:val="459349D4"/>
    <w:rsid w:val="52E943E2"/>
    <w:rsid w:val="554A42CB"/>
    <w:rsid w:val="5AED6288"/>
    <w:rsid w:val="5CB337F7"/>
    <w:rsid w:val="5F180F96"/>
    <w:rsid w:val="61792F12"/>
    <w:rsid w:val="617E77D6"/>
    <w:rsid w:val="62D653F0"/>
    <w:rsid w:val="65FFA715"/>
    <w:rsid w:val="68660FC4"/>
    <w:rsid w:val="6C727F37"/>
    <w:rsid w:val="72E2393D"/>
    <w:rsid w:val="73482D74"/>
    <w:rsid w:val="74933140"/>
    <w:rsid w:val="7B902188"/>
    <w:rsid w:val="7B97242D"/>
    <w:rsid w:val="7D1433B0"/>
    <w:rsid w:val="7FFBF9AE"/>
    <w:rsid w:val="F7BF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3" w:semiHidden="0" w:name="heading 1"/>
    <w:lsdException w:qFormat="1" w:uiPriority="4" w:semiHidden="0" w:name="heading 2"/>
    <w:lsdException w:qFormat="1" w:uiPriority="5" w:semiHidden="0" w:name="heading 3"/>
    <w:lsdException w:qFormat="1" w:uiPriority="7" w:semiHidden="0" w:name="heading 4"/>
    <w:lsdException w:qFormat="1" w:uiPriority="8" w:semiHidden="0" w:name="heading 5"/>
    <w:lsdException w:qFormat="1" w:uiPriority="2"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590" w:lineRule="exact"/>
      <w:ind w:firstLine="200" w:firstLineChars="200"/>
      <w:jc w:val="both"/>
    </w:pPr>
    <w:rPr>
      <w:rFonts w:ascii="Times New Roman" w:hAnsi="Times New Roman" w:eastAsia="方正仿宋简体" w:cstheme="minorBidi"/>
      <w:sz w:val="32"/>
      <w:szCs w:val="22"/>
      <w:lang w:val="en-US" w:eastAsia="zh-CN" w:bidi="ar-SA"/>
    </w:rPr>
  </w:style>
  <w:style w:type="paragraph" w:styleId="3">
    <w:name w:val="heading 1"/>
    <w:basedOn w:val="1"/>
    <w:next w:val="1"/>
    <w:link w:val="20"/>
    <w:qFormat/>
    <w:uiPriority w:val="3"/>
    <w:pPr>
      <w:keepNext/>
      <w:keepLines/>
      <w:outlineLvl w:val="0"/>
    </w:pPr>
    <w:rPr>
      <w:rFonts w:eastAsia="黑体"/>
      <w:bCs/>
      <w:kern w:val="44"/>
      <w:szCs w:val="44"/>
    </w:rPr>
  </w:style>
  <w:style w:type="paragraph" w:styleId="2">
    <w:name w:val="heading 2"/>
    <w:basedOn w:val="1"/>
    <w:next w:val="1"/>
    <w:link w:val="21"/>
    <w:unhideWhenUsed/>
    <w:qFormat/>
    <w:uiPriority w:val="4"/>
    <w:pPr>
      <w:keepNext/>
      <w:keepLines/>
      <w:outlineLvl w:val="1"/>
    </w:pPr>
    <w:rPr>
      <w:rFonts w:eastAsia="楷体" w:cstheme="majorBidi"/>
      <w:bCs/>
      <w:szCs w:val="32"/>
    </w:rPr>
  </w:style>
  <w:style w:type="paragraph" w:styleId="4">
    <w:name w:val="heading 3"/>
    <w:basedOn w:val="1"/>
    <w:next w:val="1"/>
    <w:link w:val="22"/>
    <w:unhideWhenUsed/>
    <w:qFormat/>
    <w:uiPriority w:val="5"/>
    <w:pPr>
      <w:keepNext/>
      <w:keepLines/>
      <w:outlineLvl w:val="2"/>
    </w:pPr>
    <w:rPr>
      <w:rFonts w:eastAsia="仿宋"/>
      <w:bCs/>
      <w:szCs w:val="32"/>
    </w:rPr>
  </w:style>
  <w:style w:type="paragraph" w:styleId="5">
    <w:name w:val="heading 4"/>
    <w:basedOn w:val="1"/>
    <w:next w:val="1"/>
    <w:link w:val="26"/>
    <w:unhideWhenUsed/>
    <w:qFormat/>
    <w:uiPriority w:val="7"/>
    <w:pPr>
      <w:keepNext/>
      <w:keepLines/>
      <w:jc w:val="right"/>
      <w:outlineLvl w:val="3"/>
    </w:pPr>
    <w:rPr>
      <w:rFonts w:cstheme="majorBidi"/>
      <w:bCs/>
      <w:szCs w:val="28"/>
    </w:rPr>
  </w:style>
  <w:style w:type="paragraph" w:styleId="6">
    <w:name w:val="heading 5"/>
    <w:basedOn w:val="1"/>
    <w:next w:val="1"/>
    <w:link w:val="27"/>
    <w:unhideWhenUsed/>
    <w:qFormat/>
    <w:uiPriority w:val="8"/>
    <w:pPr>
      <w:keepNext/>
      <w:keepLines/>
      <w:framePr w:w="8845" w:wrap="around" w:vAnchor="margin" w:hAnchor="text" w:yAlign="bottom"/>
      <w:pBdr>
        <w:top w:val="single" w:color="auto" w:sz="6" w:space="1"/>
        <w:bottom w:val="single" w:color="auto" w:sz="6" w:space="1"/>
      </w:pBdr>
      <w:ind w:firstLine="0" w:firstLineChars="0"/>
      <w:outlineLvl w:val="4"/>
    </w:pPr>
    <w:rPr>
      <w:rFonts w:eastAsia="仿宋"/>
      <w:bCs/>
      <w:sz w:val="28"/>
      <w:szCs w:val="28"/>
    </w:rPr>
  </w:style>
  <w:style w:type="paragraph" w:styleId="7">
    <w:name w:val="heading 6"/>
    <w:basedOn w:val="1"/>
    <w:next w:val="1"/>
    <w:link w:val="28"/>
    <w:unhideWhenUsed/>
    <w:qFormat/>
    <w:uiPriority w:val="2"/>
    <w:pPr>
      <w:keepNext/>
      <w:keepLines/>
      <w:wordWrap w:val="0"/>
      <w:ind w:firstLine="0" w:firstLineChars="0"/>
      <w:outlineLvl w:val="5"/>
    </w:pPr>
    <w:rPr>
      <w:rFonts w:cstheme="majorBidi"/>
      <w:bCs/>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Date"/>
    <w:basedOn w:val="1"/>
    <w:next w:val="1"/>
    <w:link w:val="25"/>
    <w:semiHidden/>
    <w:unhideWhenUsed/>
    <w:qFormat/>
    <w:uiPriority w:val="99"/>
    <w:pPr>
      <w:ind w:left="100" w:leftChars="2500"/>
    </w:pPr>
  </w:style>
  <w:style w:type="paragraph" w:styleId="10">
    <w:name w:val="Balloon Text"/>
    <w:basedOn w:val="1"/>
    <w:link w:val="29"/>
    <w:semiHidden/>
    <w:unhideWhenUsed/>
    <w:qFormat/>
    <w:uiPriority w:val="99"/>
    <w:pPr>
      <w:spacing w:line="240" w:lineRule="auto"/>
    </w:pPr>
    <w:rPr>
      <w:sz w:val="18"/>
      <w:szCs w:val="18"/>
    </w:rPr>
  </w:style>
  <w:style w:type="paragraph" w:styleId="11">
    <w:name w:val="footer"/>
    <w:basedOn w:val="1"/>
    <w:link w:val="19"/>
    <w:unhideWhenUsed/>
    <w:qFormat/>
    <w:uiPriority w:val="99"/>
    <w:pPr>
      <w:tabs>
        <w:tab w:val="center" w:pos="4153"/>
        <w:tab w:val="right" w:pos="8306"/>
      </w:tabs>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3">
    <w:name w:val="Normal (Web)"/>
    <w:basedOn w:val="1"/>
    <w:qFormat/>
    <w:uiPriority w:val="0"/>
    <w:pPr>
      <w:spacing w:before="100" w:beforeAutospacing="1" w:after="100" w:afterAutospacing="1"/>
      <w:jc w:val="left"/>
    </w:pPr>
    <w:rPr>
      <w:rFonts w:cs="Times New Roman"/>
      <w:sz w:val="24"/>
    </w:rPr>
  </w:style>
  <w:style w:type="paragraph" w:styleId="14">
    <w:name w:val="Title"/>
    <w:basedOn w:val="1"/>
    <w:next w:val="1"/>
    <w:link w:val="23"/>
    <w:qFormat/>
    <w:uiPriority w:val="1"/>
    <w:pPr>
      <w:ind w:firstLine="0" w:firstLineChars="0"/>
      <w:jc w:val="center"/>
      <w:outlineLvl w:val="0"/>
    </w:pPr>
    <w:rPr>
      <w:rFonts w:eastAsia="方正小标宋简体" w:cstheme="majorBidi"/>
      <w:bCs/>
      <w:sz w:val="44"/>
      <w:szCs w:val="32"/>
    </w:rPr>
  </w:style>
  <w:style w:type="character" w:styleId="17">
    <w:name w:val="Emphasis"/>
    <w:basedOn w:val="16"/>
    <w:qFormat/>
    <w:uiPriority w:val="20"/>
    <w:rPr>
      <w:i/>
    </w:rPr>
  </w:style>
  <w:style w:type="character" w:customStyle="1" w:styleId="18">
    <w:name w:val="页眉 Char"/>
    <w:basedOn w:val="16"/>
    <w:link w:val="12"/>
    <w:qFormat/>
    <w:uiPriority w:val="99"/>
    <w:rPr>
      <w:rFonts w:ascii="Times New Roman" w:hAnsi="Times New Roman" w:eastAsia="方正仿宋简体"/>
      <w:sz w:val="18"/>
      <w:szCs w:val="18"/>
    </w:rPr>
  </w:style>
  <w:style w:type="character" w:customStyle="1" w:styleId="19">
    <w:name w:val="页脚 Char"/>
    <w:basedOn w:val="16"/>
    <w:link w:val="11"/>
    <w:qFormat/>
    <w:uiPriority w:val="99"/>
    <w:rPr>
      <w:rFonts w:ascii="Times New Roman" w:hAnsi="Times New Roman" w:eastAsia="方正仿宋简体"/>
      <w:sz w:val="18"/>
      <w:szCs w:val="18"/>
    </w:rPr>
  </w:style>
  <w:style w:type="character" w:customStyle="1" w:styleId="20">
    <w:name w:val="标题 1 Char"/>
    <w:basedOn w:val="16"/>
    <w:link w:val="3"/>
    <w:qFormat/>
    <w:uiPriority w:val="3"/>
    <w:rPr>
      <w:rFonts w:ascii="Times New Roman" w:hAnsi="Times New Roman" w:eastAsia="黑体"/>
      <w:bCs/>
      <w:kern w:val="44"/>
      <w:sz w:val="32"/>
      <w:szCs w:val="44"/>
    </w:rPr>
  </w:style>
  <w:style w:type="character" w:customStyle="1" w:styleId="21">
    <w:name w:val="标题 2 Char"/>
    <w:basedOn w:val="16"/>
    <w:link w:val="2"/>
    <w:qFormat/>
    <w:uiPriority w:val="4"/>
    <w:rPr>
      <w:rFonts w:ascii="Times New Roman" w:hAnsi="Times New Roman" w:eastAsia="楷体" w:cstheme="majorBidi"/>
      <w:bCs/>
      <w:sz w:val="32"/>
      <w:szCs w:val="32"/>
    </w:rPr>
  </w:style>
  <w:style w:type="character" w:customStyle="1" w:styleId="22">
    <w:name w:val="标题 3 Char"/>
    <w:basedOn w:val="16"/>
    <w:link w:val="4"/>
    <w:qFormat/>
    <w:uiPriority w:val="5"/>
    <w:rPr>
      <w:rFonts w:ascii="Times New Roman" w:hAnsi="Times New Roman" w:eastAsia="仿宋"/>
      <w:bCs/>
      <w:sz w:val="32"/>
      <w:szCs w:val="32"/>
    </w:rPr>
  </w:style>
  <w:style w:type="character" w:customStyle="1" w:styleId="23">
    <w:name w:val="标题 Char"/>
    <w:basedOn w:val="16"/>
    <w:link w:val="14"/>
    <w:qFormat/>
    <w:uiPriority w:val="1"/>
    <w:rPr>
      <w:rFonts w:ascii="Times New Roman" w:hAnsi="Times New Roman" w:eastAsia="方正小标宋简体" w:cstheme="majorBidi"/>
      <w:bCs/>
      <w:sz w:val="44"/>
      <w:szCs w:val="32"/>
    </w:rPr>
  </w:style>
  <w:style w:type="paragraph" w:styleId="24">
    <w:name w:val="List Paragraph"/>
    <w:basedOn w:val="1"/>
    <w:qFormat/>
    <w:uiPriority w:val="34"/>
    <w:pPr>
      <w:ind w:firstLine="420"/>
    </w:pPr>
  </w:style>
  <w:style w:type="character" w:customStyle="1" w:styleId="25">
    <w:name w:val="日期 Char"/>
    <w:basedOn w:val="16"/>
    <w:link w:val="9"/>
    <w:semiHidden/>
    <w:qFormat/>
    <w:uiPriority w:val="99"/>
    <w:rPr>
      <w:rFonts w:ascii="Times New Roman" w:hAnsi="Times New Roman" w:eastAsia="方正仿宋简体"/>
      <w:sz w:val="32"/>
    </w:rPr>
  </w:style>
  <w:style w:type="character" w:customStyle="1" w:styleId="26">
    <w:name w:val="标题 4 Char"/>
    <w:basedOn w:val="16"/>
    <w:link w:val="5"/>
    <w:qFormat/>
    <w:uiPriority w:val="7"/>
    <w:rPr>
      <w:rFonts w:ascii="Times New Roman" w:hAnsi="Times New Roman" w:eastAsia="方正仿宋简体" w:cstheme="majorBidi"/>
      <w:bCs/>
      <w:sz w:val="32"/>
      <w:szCs w:val="28"/>
    </w:rPr>
  </w:style>
  <w:style w:type="character" w:customStyle="1" w:styleId="27">
    <w:name w:val="标题 5 Char"/>
    <w:basedOn w:val="16"/>
    <w:link w:val="6"/>
    <w:qFormat/>
    <w:uiPriority w:val="8"/>
    <w:rPr>
      <w:rFonts w:ascii="Times New Roman" w:hAnsi="Times New Roman" w:eastAsia="仿宋"/>
      <w:bCs/>
      <w:sz w:val="28"/>
      <w:szCs w:val="28"/>
    </w:rPr>
  </w:style>
  <w:style w:type="character" w:customStyle="1" w:styleId="28">
    <w:name w:val="标题 6 Char"/>
    <w:basedOn w:val="16"/>
    <w:link w:val="7"/>
    <w:qFormat/>
    <w:uiPriority w:val="2"/>
    <w:rPr>
      <w:rFonts w:ascii="Times New Roman" w:hAnsi="Times New Roman" w:eastAsia="方正仿宋简体" w:cstheme="majorBidi"/>
      <w:bCs/>
      <w:sz w:val="32"/>
      <w:szCs w:val="24"/>
    </w:rPr>
  </w:style>
  <w:style w:type="character" w:customStyle="1" w:styleId="29">
    <w:name w:val="批注框文本 Char"/>
    <w:basedOn w:val="16"/>
    <w:link w:val="10"/>
    <w:semiHidden/>
    <w:qFormat/>
    <w:uiPriority w:val="99"/>
    <w:rPr>
      <w:rFonts w:ascii="Times New Roman" w:hAnsi="Times New Roman" w:eastAsia="方正仿宋简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5494</Words>
  <Characters>5529</Characters>
  <Lines>22</Lines>
  <Paragraphs>6</Paragraphs>
  <TotalTime>1</TotalTime>
  <ScaleCrop>false</ScaleCrop>
  <LinksUpToDate>false</LinksUpToDate>
  <CharactersWithSpaces>5571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Administrator</dc:creator>
  <cp:lastModifiedBy>user</cp:lastModifiedBy>
  <cp:lastPrinted>2025-09-23T17:58:00Z</cp:lastPrinted>
  <dcterms:modified xsi:type="dcterms:W3CDTF">2025-09-24T09:50:32Z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33C9F3249B904B0DA6D18B1D45CBA511_13</vt:lpwstr>
  </property>
  <property fmtid="{D5CDD505-2E9C-101B-9397-08002B2CF9AE}" pid="4" name="KSOTemplateDocerSaveRecord">
    <vt:lpwstr>eyJoZGlkIjoiMTZjOWE5MTYyYjJhYjM3ZDk0MmNmNzc4N2IyYjk2MjcifQ==</vt:lpwstr>
  </property>
</Properties>
</file>