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1A1B57">
      <w:pPr>
        <w:ind w:firstLine="0" w:firstLineChars="0"/>
        <w:jc w:val="left"/>
        <w:rPr>
          <w:rFonts w:ascii="Times New Roman" w:hAnsi="Times New Roman" w:eastAsia="华光小标宋_CNKI" w:cs="Times New Roman"/>
          <w:color w:val="auto"/>
          <w:spacing w:val="30"/>
          <w:sz w:val="36"/>
          <w:szCs w:val="36"/>
          <w:highlight w:val="none"/>
        </w:rPr>
      </w:pPr>
      <w:r>
        <w:rPr>
          <w:rFonts w:hint="eastAsia" w:ascii="Times New Roman" w:hAnsi="Times New Roman" w:cs="仿宋_GB2312"/>
          <w:b/>
          <w:color w:val="auto"/>
          <w:spacing w:val="30"/>
          <w:sz w:val="32"/>
          <w:szCs w:val="32"/>
          <w:highlight w:val="none"/>
          <w:lang w:val="en-US" w:eastAsia="zh-CN"/>
        </w:rPr>
        <w:t>类别：</w:t>
      </w:r>
      <w:r>
        <w:rPr>
          <w:rFonts w:hint="eastAsia" w:ascii="Times New Roman" w:hAnsi="Times New Roman" w:eastAsia="仿宋_GB2312" w:cs="仿宋_GB2312"/>
          <w:b/>
          <w:color w:val="auto"/>
          <w:spacing w:val="30"/>
          <w:sz w:val="32"/>
          <w:szCs w:val="32"/>
          <w:highlight w:val="none"/>
          <w:lang w:val="en-US" w:eastAsia="zh-CN"/>
        </w:rPr>
        <w:t>书面评审类</w:t>
      </w:r>
    </w:p>
    <w:p w14:paraId="39B97D3C">
      <w:pPr>
        <w:jc w:val="center"/>
        <w:rPr>
          <w:rFonts w:ascii="Times New Roman" w:hAnsi="Times New Roman" w:eastAsia="华光小标宋_CNKI" w:cs="Times New Roman"/>
          <w:color w:val="auto"/>
          <w:spacing w:val="30"/>
          <w:sz w:val="36"/>
          <w:szCs w:val="36"/>
          <w:highlight w:val="none"/>
        </w:rPr>
      </w:pPr>
    </w:p>
    <w:p w14:paraId="4A15BD8A">
      <w:pPr>
        <w:jc w:val="center"/>
        <w:rPr>
          <w:rFonts w:ascii="Times New Roman" w:hAnsi="Times New Roman" w:eastAsia="华光小标宋_CNKI" w:cs="Times New Roman"/>
          <w:color w:val="auto"/>
          <w:spacing w:val="30"/>
          <w:sz w:val="36"/>
          <w:szCs w:val="36"/>
          <w:highlight w:val="none"/>
        </w:rPr>
      </w:pPr>
    </w:p>
    <w:p w14:paraId="0A020B06">
      <w:pPr>
        <w:jc w:val="center"/>
        <w:rPr>
          <w:rFonts w:ascii="Times New Roman" w:hAnsi="Times New Roman" w:eastAsia="华光小标宋_CNKI" w:cs="Times New Roman"/>
          <w:color w:val="auto"/>
          <w:spacing w:val="30"/>
          <w:sz w:val="36"/>
          <w:szCs w:val="36"/>
          <w:highlight w:val="none"/>
        </w:rPr>
      </w:pPr>
    </w:p>
    <w:p w14:paraId="32C2296B">
      <w:pPr>
        <w:jc w:val="center"/>
        <w:rPr>
          <w:rFonts w:ascii="Times New Roman" w:hAnsi="Times New Roman" w:eastAsia="华光小标宋_CNKI" w:cs="Times New Roman"/>
          <w:color w:val="auto"/>
          <w:spacing w:val="30"/>
          <w:sz w:val="36"/>
          <w:szCs w:val="36"/>
          <w:highlight w:val="none"/>
        </w:rPr>
      </w:pPr>
    </w:p>
    <w:p w14:paraId="7181DA87">
      <w:pPr>
        <w:jc w:val="center"/>
        <w:rPr>
          <w:rFonts w:ascii="Times New Roman" w:hAnsi="Times New Roman" w:eastAsia="华光小标宋_CNKI" w:cs="Times New Roman"/>
          <w:color w:val="auto"/>
          <w:spacing w:val="30"/>
          <w:sz w:val="36"/>
          <w:szCs w:val="36"/>
          <w:highlight w:val="none"/>
        </w:rPr>
      </w:pPr>
    </w:p>
    <w:p w14:paraId="1858AEE2">
      <w:pPr>
        <w:jc w:val="center"/>
        <w:rPr>
          <w:rFonts w:ascii="Times New Roman" w:hAnsi="Times New Roman" w:eastAsia="华文中宋" w:cs="Times New Roman"/>
          <w:b/>
          <w:color w:val="auto"/>
          <w:spacing w:val="30"/>
          <w:sz w:val="40"/>
          <w:szCs w:val="36"/>
          <w:highlight w:val="none"/>
        </w:rPr>
      </w:pPr>
      <w:r>
        <w:rPr>
          <w:rFonts w:hint="eastAsia" w:ascii="Times New Roman" w:hAnsi="Times New Roman" w:eastAsia="华文中宋" w:cs="Times New Roman"/>
          <w:b/>
          <w:color w:val="auto"/>
          <w:spacing w:val="30"/>
          <w:sz w:val="40"/>
          <w:szCs w:val="36"/>
          <w:highlight w:val="none"/>
          <w:lang w:val="en-US" w:eastAsia="zh-CN"/>
        </w:rPr>
        <w:t>广东</w:t>
      </w:r>
      <w:r>
        <w:rPr>
          <w:rFonts w:ascii="Times New Roman" w:hAnsi="Times New Roman" w:eastAsia="华文中宋" w:cs="Times New Roman"/>
          <w:b/>
          <w:color w:val="auto"/>
          <w:spacing w:val="30"/>
          <w:sz w:val="40"/>
          <w:szCs w:val="36"/>
          <w:highlight w:val="none"/>
        </w:rPr>
        <w:t>省</w:t>
      </w:r>
      <w:r>
        <w:rPr>
          <w:rFonts w:hint="eastAsia" w:ascii="Times New Roman" w:hAnsi="Times New Roman" w:eastAsia="华文中宋" w:cs="Times New Roman"/>
          <w:b/>
          <w:color w:val="auto"/>
          <w:spacing w:val="30"/>
          <w:sz w:val="40"/>
          <w:szCs w:val="36"/>
          <w:highlight w:val="none"/>
          <w:lang w:val="en-US" w:eastAsia="zh-CN"/>
        </w:rPr>
        <w:t>汕头市澄海区</w:t>
      </w:r>
      <w:r>
        <w:rPr>
          <w:rFonts w:ascii="Times New Roman" w:hAnsi="Times New Roman" w:eastAsia="华文中宋" w:cs="Times New Roman"/>
          <w:b/>
          <w:color w:val="auto"/>
          <w:spacing w:val="30"/>
          <w:sz w:val="40"/>
          <w:szCs w:val="36"/>
          <w:highlight w:val="none"/>
        </w:rPr>
        <w:t>国家现代农业</w:t>
      </w:r>
    </w:p>
    <w:p w14:paraId="3849653A">
      <w:pPr>
        <w:jc w:val="center"/>
        <w:rPr>
          <w:rFonts w:ascii="Times New Roman" w:hAnsi="Times New Roman" w:eastAsia="华文中宋" w:cs="Times New Roman"/>
          <w:b/>
          <w:color w:val="auto"/>
          <w:spacing w:val="30"/>
          <w:sz w:val="44"/>
          <w:szCs w:val="36"/>
          <w:highlight w:val="none"/>
        </w:rPr>
      </w:pPr>
      <w:r>
        <w:rPr>
          <w:rFonts w:ascii="Times New Roman" w:hAnsi="Times New Roman" w:eastAsia="华文中宋" w:cs="Times New Roman"/>
          <w:b/>
          <w:color w:val="auto"/>
          <w:spacing w:val="30"/>
          <w:sz w:val="40"/>
          <w:szCs w:val="36"/>
          <w:highlight w:val="none"/>
        </w:rPr>
        <w:t>产业园</w:t>
      </w:r>
      <w:r>
        <w:rPr>
          <w:rFonts w:hint="eastAsia" w:ascii="Times New Roman" w:hAnsi="Times New Roman" w:eastAsia="华文中宋" w:cs="Times New Roman"/>
          <w:b/>
          <w:color w:val="auto"/>
          <w:spacing w:val="30"/>
          <w:sz w:val="40"/>
          <w:szCs w:val="36"/>
          <w:highlight w:val="none"/>
          <w:lang w:val="en-US" w:eastAsia="zh-CN"/>
        </w:rPr>
        <w:t>建设</w:t>
      </w:r>
      <w:r>
        <w:rPr>
          <w:rFonts w:ascii="Times New Roman" w:hAnsi="Times New Roman" w:eastAsia="华文中宋" w:cs="Times New Roman"/>
          <w:b/>
          <w:color w:val="auto"/>
          <w:spacing w:val="30"/>
          <w:sz w:val="44"/>
          <w:szCs w:val="36"/>
          <w:highlight w:val="none"/>
        </w:rPr>
        <w:t>方案</w:t>
      </w:r>
    </w:p>
    <w:p w14:paraId="21BF61E5">
      <w:pPr>
        <w:jc w:val="center"/>
        <w:rPr>
          <w:rFonts w:hint="eastAsia" w:ascii="Times New Roman" w:hAnsi="Times New Roman" w:eastAsia="楷体_GB2312" w:cs="楷体_GB2312"/>
          <w:color w:val="auto"/>
          <w:spacing w:val="30"/>
          <w:sz w:val="36"/>
          <w:szCs w:val="36"/>
          <w:highlight w:val="none"/>
        </w:rPr>
      </w:pPr>
      <w:r>
        <w:rPr>
          <w:rFonts w:hint="eastAsia" w:ascii="Times New Roman" w:hAnsi="Times New Roman" w:eastAsia="楷体_GB2312" w:cs="楷体_GB2312"/>
          <w:color w:val="auto"/>
          <w:spacing w:val="30"/>
          <w:sz w:val="36"/>
          <w:szCs w:val="36"/>
          <w:highlight w:val="none"/>
          <w:lang w:eastAsia="zh-CN"/>
        </w:rPr>
        <w:t>（</w:t>
      </w:r>
      <w:r>
        <w:rPr>
          <w:rFonts w:hint="eastAsia" w:ascii="Times New Roman" w:hAnsi="Times New Roman" w:eastAsia="楷体_GB2312" w:cs="楷体_GB2312"/>
          <w:color w:val="auto"/>
          <w:spacing w:val="30"/>
          <w:sz w:val="36"/>
          <w:szCs w:val="36"/>
          <w:highlight w:val="none"/>
          <w:lang w:val="en-US" w:eastAsia="zh-CN"/>
        </w:rPr>
        <w:t>修订版</w:t>
      </w:r>
      <w:r>
        <w:rPr>
          <w:rFonts w:hint="eastAsia" w:ascii="Times New Roman" w:hAnsi="Times New Roman" w:eastAsia="楷体_GB2312" w:cs="楷体_GB2312"/>
          <w:color w:val="auto"/>
          <w:spacing w:val="30"/>
          <w:sz w:val="36"/>
          <w:szCs w:val="36"/>
          <w:highlight w:val="none"/>
          <w:lang w:eastAsia="zh-CN"/>
        </w:rPr>
        <w:t>）</w:t>
      </w:r>
    </w:p>
    <w:p w14:paraId="62DD7522">
      <w:pPr>
        <w:rPr>
          <w:rFonts w:ascii="Times New Roman" w:hAnsi="Times New Roman" w:cs="Times New Roman"/>
          <w:color w:val="auto"/>
          <w:highlight w:val="none"/>
        </w:rPr>
      </w:pPr>
    </w:p>
    <w:p w14:paraId="33B00102">
      <w:pPr>
        <w:rPr>
          <w:rFonts w:ascii="Times New Roman" w:hAnsi="Times New Roman" w:cs="Times New Roman"/>
          <w:color w:val="auto"/>
          <w:highlight w:val="none"/>
        </w:rPr>
      </w:pPr>
    </w:p>
    <w:p w14:paraId="6AE6DDF2">
      <w:pPr>
        <w:rPr>
          <w:rFonts w:ascii="Times New Roman" w:hAnsi="Times New Roman" w:cs="Times New Roman"/>
          <w:color w:val="auto"/>
          <w:highlight w:val="none"/>
        </w:rPr>
      </w:pPr>
    </w:p>
    <w:p w14:paraId="75541260">
      <w:pPr>
        <w:rPr>
          <w:rFonts w:ascii="Times New Roman" w:hAnsi="Times New Roman" w:cs="Times New Roman"/>
          <w:color w:val="auto"/>
          <w:highlight w:val="none"/>
        </w:rPr>
      </w:pPr>
    </w:p>
    <w:p w14:paraId="464F4D1C">
      <w:pPr>
        <w:rPr>
          <w:rFonts w:ascii="Times New Roman" w:hAnsi="Times New Roman" w:cs="Times New Roman"/>
          <w:color w:val="auto"/>
          <w:highlight w:val="none"/>
        </w:rPr>
      </w:pPr>
    </w:p>
    <w:p w14:paraId="6872DFC4">
      <w:pPr>
        <w:rPr>
          <w:rFonts w:ascii="Times New Roman" w:hAnsi="Times New Roman" w:cs="Times New Roman"/>
          <w:color w:val="auto"/>
          <w:highlight w:val="none"/>
        </w:rPr>
      </w:pPr>
    </w:p>
    <w:p w14:paraId="4E62EE70">
      <w:pPr>
        <w:rPr>
          <w:rFonts w:ascii="Times New Roman" w:hAnsi="Times New Roman" w:cs="Times New Roman"/>
          <w:color w:val="auto"/>
          <w:highlight w:val="none"/>
        </w:rPr>
      </w:pPr>
    </w:p>
    <w:p w14:paraId="4E939AF0">
      <w:pPr>
        <w:rPr>
          <w:rFonts w:hint="eastAsia" w:ascii="Times New Roman" w:hAnsi="Times New Roman" w:eastAsia="仿宋_GB2312" w:cs="Times New Roman"/>
          <w:color w:val="auto"/>
          <w:highlight w:val="none"/>
          <w:lang w:eastAsia="zh-CN"/>
        </w:rPr>
      </w:pPr>
    </w:p>
    <w:p w14:paraId="6DD96340">
      <w:pPr>
        <w:rPr>
          <w:rFonts w:hint="eastAsia" w:ascii="Times New Roman" w:hAnsi="Times New Roman" w:eastAsia="仿宋_GB2312" w:cs="Times New Roman"/>
          <w:color w:val="auto"/>
          <w:highlight w:val="none"/>
          <w:lang w:eastAsia="zh-CN"/>
        </w:rPr>
      </w:pPr>
    </w:p>
    <w:p w14:paraId="5FB7932E">
      <w:pPr>
        <w:rPr>
          <w:rFonts w:ascii="Times New Roman" w:hAnsi="Times New Roman" w:cs="Times New Roman"/>
          <w:color w:val="auto"/>
          <w:highlight w:val="none"/>
        </w:rPr>
      </w:pPr>
    </w:p>
    <w:p w14:paraId="175988E8">
      <w:pPr>
        <w:rPr>
          <w:rFonts w:ascii="Times New Roman" w:hAnsi="Times New Roman" w:cs="Times New Roman"/>
          <w:color w:val="auto"/>
          <w:highlight w:val="none"/>
        </w:rPr>
      </w:pPr>
    </w:p>
    <w:p w14:paraId="68FC78F6">
      <w:pPr>
        <w:rPr>
          <w:rFonts w:ascii="Times New Roman" w:hAnsi="Times New Roman" w:cs="Times New Roman"/>
          <w:color w:val="auto"/>
          <w:highlight w:val="none"/>
        </w:rPr>
      </w:pPr>
    </w:p>
    <w:p w14:paraId="39F5BC3C">
      <w:pPr>
        <w:jc w:val="center"/>
        <w:rPr>
          <w:rFonts w:ascii="Times New Roman" w:hAnsi="Times New Roman" w:eastAsia="仿宋_GB2312" w:cs="Times New Roman"/>
          <w:color w:val="auto"/>
          <w:sz w:val="32"/>
          <w:szCs w:val="32"/>
          <w:highlight w:val="none"/>
        </w:rPr>
      </w:pPr>
      <w:r>
        <w:rPr>
          <w:rFonts w:hint="eastAsia" w:ascii="Times New Roman" w:hAnsi="Times New Roman" w:cs="Times New Roman"/>
          <w:color w:val="auto"/>
          <w:sz w:val="32"/>
          <w:szCs w:val="32"/>
          <w:highlight w:val="none"/>
          <w:lang w:val="en-US" w:eastAsia="zh-CN"/>
        </w:rPr>
        <w:t>广东省汕头市澄海区</w:t>
      </w:r>
    </w:p>
    <w:p w14:paraId="484A7FDC">
      <w:pPr>
        <w:jc w:val="center"/>
        <w:rPr>
          <w:rFonts w:ascii="Times New Roman" w:hAnsi="Times New Roman" w:eastAsia="华光小标宋_CNKI" w:cs="Times New Roman"/>
          <w:color w:val="auto"/>
          <w:spacing w:val="30"/>
          <w:sz w:val="36"/>
          <w:szCs w:val="36"/>
          <w:highlight w:val="none"/>
        </w:rPr>
      </w:pPr>
      <w:r>
        <w:rPr>
          <w:rFonts w:hint="eastAsia" w:ascii="Times New Roman" w:hAnsi="Times New Roman" w:eastAsia="仿宋_GB2312" w:cs="Times New Roman"/>
          <w:color w:val="auto"/>
          <w:sz w:val="32"/>
          <w:szCs w:val="32"/>
          <w:highlight w:val="none"/>
          <w:lang w:val="en-US" w:eastAsia="zh-CN"/>
        </w:rPr>
        <w:t>202</w:t>
      </w:r>
      <w:r>
        <w:rPr>
          <w:rFonts w:hint="eastAsia" w:ascii="Times New Roman" w:hAnsi="Times New Roman" w:cs="Times New Roman"/>
          <w:color w:val="auto"/>
          <w:sz w:val="32"/>
          <w:szCs w:val="32"/>
          <w:highlight w:val="none"/>
          <w:lang w:val="en-US" w:eastAsia="zh-CN"/>
        </w:rPr>
        <w:t>5</w:t>
      </w:r>
      <w:r>
        <w:rPr>
          <w:rFonts w:ascii="Times New Roman" w:hAnsi="Times New Roman" w:eastAsia="仿宋_GB2312" w:cs="Times New Roman"/>
          <w:color w:val="auto"/>
          <w:sz w:val="32"/>
          <w:szCs w:val="32"/>
          <w:highlight w:val="none"/>
        </w:rPr>
        <w:t>年</w:t>
      </w:r>
      <w:r>
        <w:rPr>
          <w:rFonts w:hint="eastAsia" w:ascii="Times New Roman" w:hAnsi="Times New Roman" w:cs="Times New Roman"/>
          <w:color w:val="auto"/>
          <w:sz w:val="32"/>
          <w:szCs w:val="32"/>
          <w:highlight w:val="none"/>
          <w:lang w:val="en-US" w:eastAsia="zh-CN"/>
        </w:rPr>
        <w:t>8</w:t>
      </w:r>
      <w:r>
        <w:rPr>
          <w:rFonts w:ascii="Times New Roman" w:hAnsi="Times New Roman" w:eastAsia="仿宋_GB2312" w:cs="Times New Roman"/>
          <w:color w:val="auto"/>
          <w:sz w:val="32"/>
          <w:szCs w:val="32"/>
          <w:highlight w:val="none"/>
        </w:rPr>
        <w:t>月</w:t>
      </w:r>
    </w:p>
    <w:p w14:paraId="3F1C27A0">
      <w:pPr>
        <w:ind w:firstLine="992" w:firstLineChars="310"/>
        <w:rPr>
          <w:rFonts w:ascii="Times New Roman" w:hAnsi="Times New Roman" w:cs="Times New Roman"/>
          <w:color w:val="auto"/>
          <w:highlight w:val="none"/>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hint="eastAsia" w:ascii="Times New Roman" w:hAnsi="Times New Roman" w:eastAsia="黑体" w:cs="黑体"/>
          <w:color w:val="auto"/>
          <w:kern w:val="2"/>
          <w:sz w:val="32"/>
          <w:szCs w:val="32"/>
          <w:highlight w:val="none"/>
          <w:lang w:val="en-US" w:eastAsia="zh-CN" w:bidi="ar-SA"/>
        </w:rPr>
        <w:id w:val="147475956"/>
        <w15:color w:val="DBDBDB"/>
        <w:docPartObj>
          <w:docPartGallery w:val="Table of Contents"/>
          <w:docPartUnique/>
        </w:docPartObj>
      </w:sdtPr>
      <w:sdtEndPr>
        <w:rPr>
          <w:rFonts w:hint="eastAsia" w:ascii="Times New Roman" w:hAnsi="Times New Roman" w:eastAsia="黑体" w:cstheme="minorBidi"/>
          <w:b/>
          <w:color w:val="auto"/>
          <w:kern w:val="44"/>
          <w:sz w:val="32"/>
          <w:szCs w:val="22"/>
          <w:highlight w:val="none"/>
          <w:lang w:val="en-US" w:eastAsia="zh-CN" w:bidi="ar-SA"/>
        </w:rPr>
      </w:sdtEndPr>
      <w:sdtContent>
        <w:p w14:paraId="52BCFE86">
          <w:pPr>
            <w:pageBreakBefore w:val="0"/>
            <w:kinsoku/>
            <w:overflowPunct/>
            <w:topLinePunct w:val="0"/>
            <w:autoSpaceDE/>
            <w:autoSpaceDN/>
            <w:bidi w:val="0"/>
            <w:adjustRightInd/>
            <w:snapToGrid/>
            <w:spacing w:before="0" w:beforeLines="0" w:after="0" w:afterLines="0" w:line="590" w:lineRule="exact"/>
            <w:ind w:left="0" w:leftChars="0" w:right="0" w:rightChars="0" w:firstLine="0" w:firstLineChars="0"/>
            <w:jc w:val="center"/>
            <w:rPr>
              <w:rFonts w:hint="eastAsia" w:ascii="Times New Roman" w:hAnsi="Times New Roman" w:eastAsia="黑体" w:cs="黑体"/>
              <w:color w:val="auto"/>
              <w:sz w:val="32"/>
              <w:szCs w:val="32"/>
              <w:highlight w:val="none"/>
            </w:rPr>
          </w:pPr>
          <w:bookmarkStart w:id="0" w:name="_Toc8113"/>
          <w:r>
            <w:rPr>
              <w:rFonts w:hint="eastAsia" w:ascii="Times New Roman" w:hAnsi="Times New Roman" w:eastAsia="黑体" w:cs="黑体"/>
              <w:color w:val="auto"/>
              <w:sz w:val="32"/>
              <w:szCs w:val="32"/>
              <w:highlight w:val="none"/>
            </w:rPr>
            <w:t>目</w:t>
          </w:r>
          <w:r>
            <w:rPr>
              <w:rFonts w:hint="eastAsia" w:ascii="Times New Roman" w:hAnsi="Times New Roman" w:eastAsia="黑体" w:cs="黑体"/>
              <w:color w:val="auto"/>
              <w:sz w:val="32"/>
              <w:szCs w:val="32"/>
              <w:highlight w:val="none"/>
              <w:lang w:val="en-US" w:eastAsia="zh-CN"/>
            </w:rPr>
            <w:t xml:space="preserve">  </w:t>
          </w:r>
          <w:r>
            <w:rPr>
              <w:rFonts w:hint="eastAsia" w:ascii="Times New Roman" w:hAnsi="Times New Roman" w:eastAsia="黑体" w:cs="黑体"/>
              <w:color w:val="auto"/>
              <w:sz w:val="32"/>
              <w:szCs w:val="32"/>
              <w:highlight w:val="none"/>
            </w:rPr>
            <w:t>录</w:t>
          </w:r>
        </w:p>
        <w:p w14:paraId="5BBAB176">
          <w:pPr>
            <w:pStyle w:val="21"/>
            <w:tabs>
              <w:tab w:val="right" w:leader="dot" w:pos="8306"/>
            </w:tabs>
            <w:rPr>
              <w:rFonts w:ascii="Times New Roman" w:hAnsi="Times New Roman"/>
              <w:color w:val="auto"/>
              <w:sz w:val="28"/>
              <w:szCs w:val="28"/>
            </w:rPr>
          </w:pPr>
          <w:r>
            <w:rPr>
              <w:rFonts w:hint="eastAsia" w:ascii="Times New Roman" w:hAnsi="Times New Roman"/>
              <w:color w:val="auto"/>
              <w:highlight w:val="none"/>
              <w:lang w:val="en-US" w:eastAsia="zh-CN"/>
            </w:rPr>
            <w:fldChar w:fldCharType="begin"/>
          </w:r>
          <w:r>
            <w:rPr>
              <w:rFonts w:hint="eastAsia" w:ascii="Times New Roman" w:hAnsi="Times New Roman"/>
              <w:color w:val="auto"/>
              <w:highlight w:val="none"/>
              <w:lang w:val="en-US" w:eastAsia="zh-CN"/>
            </w:rPr>
            <w:instrText xml:space="preserve">TOC \o "1-2" \h \u </w:instrText>
          </w:r>
          <w:r>
            <w:rPr>
              <w:rFonts w:hint="eastAsia" w:ascii="Times New Roman" w:hAnsi="Times New Roman"/>
              <w:color w:val="auto"/>
              <w:highlight w:val="none"/>
              <w:lang w:val="en-US" w:eastAsia="zh-CN"/>
            </w:rPr>
            <w:fldChar w:fldCharType="separate"/>
          </w:r>
          <w:bookmarkStart w:id="359" w:name="_GoBack"/>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_Toc16224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cs="Times New Roman"/>
              <w:bCs/>
              <w:color w:val="auto"/>
              <w:sz w:val="28"/>
              <w:szCs w:val="28"/>
              <w:highlight w:val="none"/>
              <w:lang w:val="en-US" w:eastAsia="zh-CN"/>
            </w:rPr>
            <w:t>一、基本情况</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_Toc16224 \h </w:instrText>
          </w:r>
          <w:r>
            <w:rPr>
              <w:rFonts w:ascii="Times New Roman" w:hAnsi="Times New Roman"/>
              <w:color w:val="auto"/>
              <w:sz w:val="28"/>
              <w:szCs w:val="28"/>
            </w:rPr>
            <w:fldChar w:fldCharType="separate"/>
          </w:r>
          <w:r>
            <w:rPr>
              <w:rFonts w:ascii="Times New Roman" w:hAnsi="Times New Roman"/>
              <w:color w:val="auto"/>
              <w:sz w:val="28"/>
              <w:szCs w:val="28"/>
            </w:rPr>
            <w:t>1</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6AC50AD3">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_Toc23519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eastAsia="楷体_GB2312" w:cs="楷体_GB2312"/>
              <w:bCs w:val="0"/>
              <w:color w:val="auto"/>
              <w:sz w:val="28"/>
              <w:szCs w:val="28"/>
              <w:highlight w:val="none"/>
              <w:lang w:val="en-US" w:eastAsia="zh-CN"/>
            </w:rPr>
            <w:t>（一）产业园所在县基本情况</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_Toc23519 \h </w:instrText>
          </w:r>
          <w:r>
            <w:rPr>
              <w:rFonts w:ascii="Times New Roman" w:hAnsi="Times New Roman"/>
              <w:color w:val="auto"/>
              <w:sz w:val="28"/>
              <w:szCs w:val="28"/>
            </w:rPr>
            <w:fldChar w:fldCharType="separate"/>
          </w:r>
          <w:r>
            <w:rPr>
              <w:rFonts w:ascii="Times New Roman" w:hAnsi="Times New Roman"/>
              <w:color w:val="auto"/>
              <w:sz w:val="28"/>
              <w:szCs w:val="28"/>
            </w:rPr>
            <w:t>1</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062A9F9C">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_Toc14284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eastAsia="楷体_GB2312" w:cs="楷体_GB2312"/>
              <w:bCs w:val="0"/>
              <w:color w:val="auto"/>
              <w:sz w:val="28"/>
              <w:szCs w:val="28"/>
              <w:highlight w:val="none"/>
              <w:lang w:val="en-US" w:eastAsia="zh-CN"/>
            </w:rPr>
            <w:t>（二）产业园概况</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_Toc14284 \h </w:instrText>
          </w:r>
          <w:r>
            <w:rPr>
              <w:rFonts w:ascii="Times New Roman" w:hAnsi="Times New Roman"/>
              <w:color w:val="auto"/>
              <w:sz w:val="28"/>
              <w:szCs w:val="28"/>
            </w:rPr>
            <w:fldChar w:fldCharType="separate"/>
          </w:r>
          <w:r>
            <w:rPr>
              <w:rFonts w:ascii="Times New Roman" w:hAnsi="Times New Roman"/>
              <w:color w:val="auto"/>
              <w:sz w:val="28"/>
              <w:szCs w:val="28"/>
            </w:rPr>
            <w:t>12</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5E73B892">
          <w:pPr>
            <w:pStyle w:val="21"/>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_Toc4220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cs="Times New Roman"/>
              <w:bCs/>
              <w:color w:val="auto"/>
              <w:sz w:val="28"/>
              <w:szCs w:val="28"/>
              <w:highlight w:val="none"/>
              <w:lang w:val="en-US" w:eastAsia="zh-CN"/>
            </w:rPr>
            <w:t>二、建设条件</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_Toc4220 \h </w:instrText>
          </w:r>
          <w:r>
            <w:rPr>
              <w:rFonts w:ascii="Times New Roman" w:hAnsi="Times New Roman"/>
              <w:color w:val="auto"/>
              <w:sz w:val="28"/>
              <w:szCs w:val="28"/>
            </w:rPr>
            <w:fldChar w:fldCharType="separate"/>
          </w:r>
          <w:r>
            <w:rPr>
              <w:rFonts w:ascii="Times New Roman" w:hAnsi="Times New Roman"/>
              <w:color w:val="auto"/>
              <w:sz w:val="28"/>
              <w:szCs w:val="28"/>
            </w:rPr>
            <w:t>15</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23D21B10">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_Toc32503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eastAsia="楷体_GB2312" w:cs="楷体_GB2312"/>
              <w:bCs w:val="0"/>
              <w:color w:val="auto"/>
              <w:sz w:val="28"/>
              <w:szCs w:val="28"/>
              <w:highlight w:val="none"/>
              <w:lang w:val="en-US" w:eastAsia="zh-CN"/>
            </w:rPr>
            <w:t>（一）建设优势</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_Toc32503 \h </w:instrText>
          </w:r>
          <w:r>
            <w:rPr>
              <w:rFonts w:ascii="Times New Roman" w:hAnsi="Times New Roman"/>
              <w:color w:val="auto"/>
              <w:sz w:val="28"/>
              <w:szCs w:val="28"/>
            </w:rPr>
            <w:fldChar w:fldCharType="separate"/>
          </w:r>
          <w:r>
            <w:rPr>
              <w:rFonts w:ascii="Times New Roman" w:hAnsi="Times New Roman"/>
              <w:color w:val="auto"/>
              <w:sz w:val="28"/>
              <w:szCs w:val="28"/>
            </w:rPr>
            <w:t>15</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1A17723F">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_Toc20498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eastAsia="楷体_GB2312" w:cs="楷体_GB2312"/>
              <w:color w:val="auto"/>
              <w:sz w:val="28"/>
              <w:szCs w:val="28"/>
              <w:highlight w:val="none"/>
              <w:lang w:val="en-US" w:eastAsia="zh-CN"/>
            </w:rPr>
            <w:t>（二）存在问题</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_Toc20498 \h </w:instrText>
          </w:r>
          <w:r>
            <w:rPr>
              <w:rFonts w:ascii="Times New Roman" w:hAnsi="Times New Roman"/>
              <w:color w:val="auto"/>
              <w:sz w:val="28"/>
              <w:szCs w:val="28"/>
            </w:rPr>
            <w:fldChar w:fldCharType="separate"/>
          </w:r>
          <w:r>
            <w:rPr>
              <w:rFonts w:ascii="Times New Roman" w:hAnsi="Times New Roman"/>
              <w:color w:val="auto"/>
              <w:sz w:val="28"/>
              <w:szCs w:val="28"/>
            </w:rPr>
            <w:t>55</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78F3C8E8">
          <w:pPr>
            <w:pStyle w:val="21"/>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_Toc13451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cs="Times New Roman"/>
              <w:bCs/>
              <w:color w:val="auto"/>
              <w:sz w:val="28"/>
              <w:szCs w:val="28"/>
              <w:highlight w:val="none"/>
              <w:lang w:val="en-US" w:eastAsia="zh-CN"/>
            </w:rPr>
            <w:t>三、思路目标</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_Toc13451 \h </w:instrText>
          </w:r>
          <w:r>
            <w:rPr>
              <w:rFonts w:ascii="Times New Roman" w:hAnsi="Times New Roman"/>
              <w:color w:val="auto"/>
              <w:sz w:val="28"/>
              <w:szCs w:val="28"/>
            </w:rPr>
            <w:fldChar w:fldCharType="separate"/>
          </w:r>
          <w:r>
            <w:rPr>
              <w:rFonts w:ascii="Times New Roman" w:hAnsi="Times New Roman"/>
              <w:color w:val="auto"/>
              <w:sz w:val="28"/>
              <w:szCs w:val="28"/>
            </w:rPr>
            <w:t>56</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36EB7F9A">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_Toc14195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eastAsia="楷体_GB2312" w:cs="楷体_GB2312"/>
              <w:bCs w:val="0"/>
              <w:color w:val="auto"/>
              <w:sz w:val="28"/>
              <w:szCs w:val="28"/>
              <w:highlight w:val="none"/>
              <w:lang w:val="en-US" w:eastAsia="zh-CN"/>
            </w:rPr>
            <w:t>（一）建设思路</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_Toc14195 \h </w:instrText>
          </w:r>
          <w:r>
            <w:rPr>
              <w:rFonts w:ascii="Times New Roman" w:hAnsi="Times New Roman"/>
              <w:color w:val="auto"/>
              <w:sz w:val="28"/>
              <w:szCs w:val="28"/>
            </w:rPr>
            <w:fldChar w:fldCharType="separate"/>
          </w:r>
          <w:r>
            <w:rPr>
              <w:rFonts w:ascii="Times New Roman" w:hAnsi="Times New Roman"/>
              <w:color w:val="auto"/>
              <w:sz w:val="28"/>
              <w:szCs w:val="28"/>
            </w:rPr>
            <w:t>56</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32E37F6E">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_Toc14007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eastAsia="楷体_GB2312" w:cs="楷体_GB2312"/>
              <w:bCs w:val="0"/>
              <w:color w:val="auto"/>
              <w:sz w:val="28"/>
              <w:szCs w:val="28"/>
              <w:highlight w:val="none"/>
              <w:lang w:val="en-US" w:eastAsia="zh-CN"/>
            </w:rPr>
            <w:t>（二）建设原则</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_Toc14007 \h </w:instrText>
          </w:r>
          <w:r>
            <w:rPr>
              <w:rFonts w:ascii="Times New Roman" w:hAnsi="Times New Roman"/>
              <w:color w:val="auto"/>
              <w:sz w:val="28"/>
              <w:szCs w:val="28"/>
            </w:rPr>
            <w:fldChar w:fldCharType="separate"/>
          </w:r>
          <w:r>
            <w:rPr>
              <w:rFonts w:ascii="Times New Roman" w:hAnsi="Times New Roman"/>
              <w:color w:val="auto"/>
              <w:sz w:val="28"/>
              <w:szCs w:val="28"/>
            </w:rPr>
            <w:t>56</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6F3B48BA">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_Toc5672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eastAsia="楷体_GB2312" w:cs="楷体_GB2312"/>
              <w:bCs w:val="0"/>
              <w:color w:val="auto"/>
              <w:sz w:val="28"/>
              <w:szCs w:val="28"/>
              <w:highlight w:val="none"/>
              <w:lang w:val="en-US" w:eastAsia="zh-CN"/>
            </w:rPr>
            <w:t>（三）功能定位</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_Toc5672 \h </w:instrText>
          </w:r>
          <w:r>
            <w:rPr>
              <w:rFonts w:ascii="Times New Roman" w:hAnsi="Times New Roman"/>
              <w:color w:val="auto"/>
              <w:sz w:val="28"/>
              <w:szCs w:val="28"/>
            </w:rPr>
            <w:fldChar w:fldCharType="separate"/>
          </w:r>
          <w:r>
            <w:rPr>
              <w:rFonts w:ascii="Times New Roman" w:hAnsi="Times New Roman"/>
              <w:color w:val="auto"/>
              <w:sz w:val="28"/>
              <w:szCs w:val="28"/>
            </w:rPr>
            <w:t>58</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79877C1C">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_Toc16524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eastAsia="楷体_GB2312" w:cs="楷体_GB2312"/>
              <w:bCs w:val="0"/>
              <w:color w:val="auto"/>
              <w:sz w:val="28"/>
              <w:szCs w:val="28"/>
              <w:highlight w:val="none"/>
              <w:lang w:val="en-US" w:eastAsia="zh-CN"/>
            </w:rPr>
            <w:t>（四）建设目标</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_Toc16524 \h </w:instrText>
          </w:r>
          <w:r>
            <w:rPr>
              <w:rFonts w:ascii="Times New Roman" w:hAnsi="Times New Roman"/>
              <w:color w:val="auto"/>
              <w:sz w:val="28"/>
              <w:szCs w:val="28"/>
            </w:rPr>
            <w:fldChar w:fldCharType="separate"/>
          </w:r>
          <w:r>
            <w:rPr>
              <w:rFonts w:ascii="Times New Roman" w:hAnsi="Times New Roman"/>
              <w:color w:val="auto"/>
              <w:sz w:val="28"/>
              <w:szCs w:val="28"/>
            </w:rPr>
            <w:t>60</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36C41EFB">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_Toc9816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eastAsia="楷体_GB2312" w:cs="楷体_GB2312"/>
              <w:bCs w:val="0"/>
              <w:color w:val="auto"/>
              <w:sz w:val="28"/>
              <w:szCs w:val="28"/>
              <w:highlight w:val="none"/>
              <w:lang w:val="en-US" w:eastAsia="zh-CN"/>
            </w:rPr>
            <w:t>（五）建设阶段任务</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_Toc9816 \h </w:instrText>
          </w:r>
          <w:r>
            <w:rPr>
              <w:rFonts w:ascii="Times New Roman" w:hAnsi="Times New Roman"/>
              <w:color w:val="auto"/>
              <w:sz w:val="28"/>
              <w:szCs w:val="28"/>
            </w:rPr>
            <w:fldChar w:fldCharType="separate"/>
          </w:r>
          <w:r>
            <w:rPr>
              <w:rFonts w:ascii="Times New Roman" w:hAnsi="Times New Roman"/>
              <w:color w:val="auto"/>
              <w:sz w:val="28"/>
              <w:szCs w:val="28"/>
            </w:rPr>
            <w:t>64</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6BE8D0E2">
          <w:pPr>
            <w:pStyle w:val="21"/>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_Toc24370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cs="Times New Roman"/>
              <w:bCs/>
              <w:color w:val="auto"/>
              <w:sz w:val="28"/>
              <w:szCs w:val="28"/>
              <w:highlight w:val="none"/>
              <w:lang w:val="en-US" w:eastAsia="zh-CN"/>
            </w:rPr>
            <w:t>四、功能布局</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_Toc24370 \h </w:instrText>
          </w:r>
          <w:r>
            <w:rPr>
              <w:rFonts w:ascii="Times New Roman" w:hAnsi="Times New Roman"/>
              <w:color w:val="auto"/>
              <w:sz w:val="28"/>
              <w:szCs w:val="28"/>
            </w:rPr>
            <w:fldChar w:fldCharType="separate"/>
          </w:r>
          <w:r>
            <w:rPr>
              <w:rFonts w:ascii="Times New Roman" w:hAnsi="Times New Roman"/>
              <w:color w:val="auto"/>
              <w:sz w:val="28"/>
              <w:szCs w:val="28"/>
            </w:rPr>
            <w:t>65</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21C50B0C">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_Toc28597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一轴</w:t>
          </w:r>
          <w:r>
            <w:rPr>
              <w:rFonts w:hint="eastAsia"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牵引</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_Toc28597 \h </w:instrText>
          </w:r>
          <w:r>
            <w:rPr>
              <w:rFonts w:ascii="Times New Roman" w:hAnsi="Times New Roman"/>
              <w:color w:val="auto"/>
              <w:sz w:val="28"/>
              <w:szCs w:val="28"/>
            </w:rPr>
            <w:fldChar w:fldCharType="separate"/>
          </w:r>
          <w:r>
            <w:rPr>
              <w:rFonts w:ascii="Times New Roman" w:hAnsi="Times New Roman"/>
              <w:color w:val="auto"/>
              <w:sz w:val="28"/>
              <w:szCs w:val="28"/>
            </w:rPr>
            <w:t>66</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022BF08D">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_Toc9059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cs="Times New Roman"/>
              <w:color w:val="auto"/>
              <w:sz w:val="28"/>
              <w:szCs w:val="28"/>
              <w:highlight w:val="none"/>
              <w:lang w:eastAsia="zh-CN"/>
            </w:rPr>
            <w:t>“</w:t>
          </w:r>
          <w:r>
            <w:rPr>
              <w:rFonts w:hint="eastAsia" w:ascii="Times New Roman" w:hAnsi="Times New Roman" w:cs="Times New Roman"/>
              <w:color w:val="auto"/>
              <w:sz w:val="28"/>
              <w:szCs w:val="28"/>
              <w:highlight w:val="none"/>
              <w:lang w:val="en-US" w:eastAsia="zh-CN"/>
            </w:rPr>
            <w:t>三</w:t>
          </w:r>
          <w:r>
            <w:rPr>
              <w:rFonts w:hint="default" w:ascii="Times New Roman" w:hAnsi="Times New Roman" w:cs="Times New Roman"/>
              <w:color w:val="auto"/>
              <w:sz w:val="28"/>
              <w:szCs w:val="28"/>
              <w:highlight w:val="none"/>
            </w:rPr>
            <w:t>核</w:t>
          </w:r>
          <w:r>
            <w:rPr>
              <w:rFonts w:hint="eastAsia"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驱动</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_Toc9059 \h </w:instrText>
          </w:r>
          <w:r>
            <w:rPr>
              <w:rFonts w:ascii="Times New Roman" w:hAnsi="Times New Roman"/>
              <w:color w:val="auto"/>
              <w:sz w:val="28"/>
              <w:szCs w:val="28"/>
            </w:rPr>
            <w:fldChar w:fldCharType="separate"/>
          </w:r>
          <w:r>
            <w:rPr>
              <w:rFonts w:ascii="Times New Roman" w:hAnsi="Times New Roman"/>
              <w:color w:val="auto"/>
              <w:sz w:val="28"/>
              <w:szCs w:val="28"/>
            </w:rPr>
            <w:t>67</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0FBB33C8">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_Toc21859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三区</w:t>
          </w:r>
          <w:r>
            <w:rPr>
              <w:rFonts w:hint="eastAsia"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支撑</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_Toc21859 \h </w:instrText>
          </w:r>
          <w:r>
            <w:rPr>
              <w:rFonts w:ascii="Times New Roman" w:hAnsi="Times New Roman"/>
              <w:color w:val="auto"/>
              <w:sz w:val="28"/>
              <w:szCs w:val="28"/>
            </w:rPr>
            <w:fldChar w:fldCharType="separate"/>
          </w:r>
          <w:r>
            <w:rPr>
              <w:rFonts w:ascii="Times New Roman" w:hAnsi="Times New Roman"/>
              <w:color w:val="auto"/>
              <w:sz w:val="28"/>
              <w:szCs w:val="28"/>
            </w:rPr>
            <w:t>68</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7F732572">
          <w:pPr>
            <w:pStyle w:val="21"/>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_Toc8758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cs="Times New Roman"/>
              <w:bCs/>
              <w:color w:val="auto"/>
              <w:sz w:val="28"/>
              <w:szCs w:val="28"/>
              <w:highlight w:val="none"/>
              <w:lang w:val="en-US" w:eastAsia="zh-CN"/>
            </w:rPr>
            <w:t>五、建设任务</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_Toc8758 \h </w:instrText>
          </w:r>
          <w:r>
            <w:rPr>
              <w:rFonts w:ascii="Times New Roman" w:hAnsi="Times New Roman"/>
              <w:color w:val="auto"/>
              <w:sz w:val="28"/>
              <w:szCs w:val="28"/>
            </w:rPr>
            <w:fldChar w:fldCharType="separate"/>
          </w:r>
          <w:r>
            <w:rPr>
              <w:rFonts w:ascii="Times New Roman" w:hAnsi="Times New Roman"/>
              <w:color w:val="auto"/>
              <w:sz w:val="28"/>
              <w:szCs w:val="28"/>
            </w:rPr>
            <w:t>69</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2287A68E">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_Toc30070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eastAsia="楷体_GB2312" w:cs="楷体_GB2312"/>
              <w:bCs w:val="0"/>
              <w:color w:val="auto"/>
              <w:sz w:val="28"/>
              <w:szCs w:val="28"/>
              <w:highlight w:val="none"/>
              <w:lang w:val="en-US" w:eastAsia="zh-CN"/>
            </w:rPr>
            <w:t>（一）强抓狮头鹅生产源头，建成绿色标准化原料生产区</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_Toc30070 \h </w:instrText>
          </w:r>
          <w:r>
            <w:rPr>
              <w:rFonts w:ascii="Times New Roman" w:hAnsi="Times New Roman"/>
              <w:color w:val="auto"/>
              <w:sz w:val="28"/>
              <w:szCs w:val="28"/>
            </w:rPr>
            <w:fldChar w:fldCharType="separate"/>
          </w:r>
          <w:r>
            <w:rPr>
              <w:rFonts w:ascii="Times New Roman" w:hAnsi="Times New Roman"/>
              <w:color w:val="auto"/>
              <w:sz w:val="28"/>
              <w:szCs w:val="28"/>
            </w:rPr>
            <w:t>69</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42587815">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_Toc26622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eastAsia="楷体_GB2312" w:cs="楷体_GB2312"/>
              <w:bCs w:val="0"/>
              <w:color w:val="auto"/>
              <w:sz w:val="28"/>
              <w:szCs w:val="28"/>
              <w:highlight w:val="none"/>
              <w:lang w:val="en-US" w:eastAsia="zh-CN"/>
            </w:rPr>
            <w:t>（二）强化屠宰加工冷链流通，深度开发狮头鹅多元化产品</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_Toc26622 \h </w:instrText>
          </w:r>
          <w:r>
            <w:rPr>
              <w:rFonts w:ascii="Times New Roman" w:hAnsi="Times New Roman"/>
              <w:color w:val="auto"/>
              <w:sz w:val="28"/>
              <w:szCs w:val="28"/>
            </w:rPr>
            <w:fldChar w:fldCharType="separate"/>
          </w:r>
          <w:r>
            <w:rPr>
              <w:rFonts w:ascii="Times New Roman" w:hAnsi="Times New Roman"/>
              <w:color w:val="auto"/>
              <w:sz w:val="28"/>
              <w:szCs w:val="28"/>
            </w:rPr>
            <w:t>71</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4FC85853">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_Toc16186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eastAsia="楷体_GB2312" w:cs="楷体_GB2312"/>
              <w:bCs w:val="0"/>
              <w:color w:val="auto"/>
              <w:sz w:val="28"/>
              <w:szCs w:val="28"/>
              <w:highlight w:val="none"/>
              <w:lang w:val="en-US" w:eastAsia="zh-CN"/>
            </w:rPr>
            <w:t>（三）现代要素加速集聚，构建共建共享现代农业产业体系</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_Toc16186 \h </w:instrText>
          </w:r>
          <w:r>
            <w:rPr>
              <w:rFonts w:ascii="Times New Roman" w:hAnsi="Times New Roman"/>
              <w:color w:val="auto"/>
              <w:sz w:val="28"/>
              <w:szCs w:val="28"/>
            </w:rPr>
            <w:fldChar w:fldCharType="separate"/>
          </w:r>
          <w:r>
            <w:rPr>
              <w:rFonts w:ascii="Times New Roman" w:hAnsi="Times New Roman"/>
              <w:color w:val="auto"/>
              <w:sz w:val="28"/>
              <w:szCs w:val="28"/>
            </w:rPr>
            <w:t>74</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75177CD6">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_Toc4602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eastAsia="楷体_GB2312" w:cs="楷体_GB2312"/>
              <w:bCs w:val="0"/>
              <w:color w:val="auto"/>
              <w:sz w:val="28"/>
              <w:szCs w:val="28"/>
              <w:highlight w:val="none"/>
              <w:lang w:val="en-US" w:eastAsia="zh-CN"/>
            </w:rPr>
            <w:t>（四）推进产业强镇兴村，建设乡村振兴样板</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_Toc4602 \h </w:instrText>
          </w:r>
          <w:r>
            <w:rPr>
              <w:rFonts w:ascii="Times New Roman" w:hAnsi="Times New Roman"/>
              <w:color w:val="auto"/>
              <w:sz w:val="28"/>
              <w:szCs w:val="28"/>
            </w:rPr>
            <w:fldChar w:fldCharType="separate"/>
          </w:r>
          <w:r>
            <w:rPr>
              <w:rFonts w:ascii="Times New Roman" w:hAnsi="Times New Roman"/>
              <w:color w:val="auto"/>
              <w:sz w:val="28"/>
              <w:szCs w:val="28"/>
            </w:rPr>
            <w:t>81</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5877D0AA">
          <w:pPr>
            <w:pStyle w:val="21"/>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_Toc8594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cs="Times New Roman"/>
              <w:bCs/>
              <w:color w:val="auto"/>
              <w:sz w:val="28"/>
              <w:szCs w:val="28"/>
              <w:highlight w:val="none"/>
              <w:lang w:val="en-US" w:eastAsia="zh-CN"/>
            </w:rPr>
            <w:t>六、重点工程项目</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_Toc8594 \h </w:instrText>
          </w:r>
          <w:r>
            <w:rPr>
              <w:rFonts w:ascii="Times New Roman" w:hAnsi="Times New Roman"/>
              <w:color w:val="auto"/>
              <w:sz w:val="28"/>
              <w:szCs w:val="28"/>
            </w:rPr>
            <w:fldChar w:fldCharType="separate"/>
          </w:r>
          <w:r>
            <w:rPr>
              <w:rFonts w:ascii="Times New Roman" w:hAnsi="Times New Roman"/>
              <w:color w:val="auto"/>
              <w:sz w:val="28"/>
              <w:szCs w:val="28"/>
            </w:rPr>
            <w:t>83</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2DD89CBA">
          <w:pPr>
            <w:pStyle w:val="21"/>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_Toc26544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cs="Times New Roman"/>
              <w:bCs/>
              <w:color w:val="auto"/>
              <w:sz w:val="28"/>
              <w:szCs w:val="28"/>
              <w:highlight w:val="none"/>
              <w:lang w:val="en-US" w:eastAsia="zh-CN"/>
            </w:rPr>
            <w:t>七、资金筹措</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_Toc26544 \h </w:instrText>
          </w:r>
          <w:r>
            <w:rPr>
              <w:rFonts w:ascii="Times New Roman" w:hAnsi="Times New Roman"/>
              <w:color w:val="auto"/>
              <w:sz w:val="28"/>
              <w:szCs w:val="28"/>
            </w:rPr>
            <w:fldChar w:fldCharType="separate"/>
          </w:r>
          <w:r>
            <w:rPr>
              <w:rFonts w:ascii="Times New Roman" w:hAnsi="Times New Roman"/>
              <w:color w:val="auto"/>
              <w:sz w:val="28"/>
              <w:szCs w:val="28"/>
            </w:rPr>
            <w:t>100</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3A979062">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_Toc20818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eastAsia="楷体_GB2312" w:cs="楷体_GB2312"/>
              <w:bCs w:val="0"/>
              <w:color w:val="auto"/>
              <w:sz w:val="28"/>
              <w:szCs w:val="28"/>
              <w:highlight w:val="none"/>
              <w:lang w:val="en-US" w:eastAsia="zh-CN"/>
            </w:rPr>
            <w:t>（一）投资估算</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_Toc20818 \h </w:instrText>
          </w:r>
          <w:r>
            <w:rPr>
              <w:rFonts w:ascii="Times New Roman" w:hAnsi="Times New Roman"/>
              <w:color w:val="auto"/>
              <w:sz w:val="28"/>
              <w:szCs w:val="28"/>
            </w:rPr>
            <w:fldChar w:fldCharType="separate"/>
          </w:r>
          <w:r>
            <w:rPr>
              <w:rFonts w:ascii="Times New Roman" w:hAnsi="Times New Roman"/>
              <w:color w:val="auto"/>
              <w:sz w:val="28"/>
              <w:szCs w:val="28"/>
            </w:rPr>
            <w:t>100</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007BDFC0">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_Toc20588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eastAsia="楷体_GB2312" w:cs="楷体_GB2312"/>
              <w:bCs w:val="0"/>
              <w:color w:val="auto"/>
              <w:sz w:val="28"/>
              <w:szCs w:val="28"/>
              <w:highlight w:val="none"/>
              <w:lang w:val="en-US" w:eastAsia="zh-CN"/>
            </w:rPr>
            <w:t>（二）资金筹措</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_Toc20588 \h </w:instrText>
          </w:r>
          <w:r>
            <w:rPr>
              <w:rFonts w:ascii="Times New Roman" w:hAnsi="Times New Roman"/>
              <w:color w:val="auto"/>
              <w:sz w:val="28"/>
              <w:szCs w:val="28"/>
            </w:rPr>
            <w:fldChar w:fldCharType="separate"/>
          </w:r>
          <w:r>
            <w:rPr>
              <w:rFonts w:ascii="Times New Roman" w:hAnsi="Times New Roman"/>
              <w:color w:val="auto"/>
              <w:sz w:val="28"/>
              <w:szCs w:val="28"/>
            </w:rPr>
            <w:t>113</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030DF826">
          <w:pPr>
            <w:pStyle w:val="21"/>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_Toc3923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cs="Times New Roman"/>
              <w:bCs/>
              <w:color w:val="auto"/>
              <w:sz w:val="28"/>
              <w:szCs w:val="28"/>
              <w:highlight w:val="none"/>
              <w:lang w:val="en-US" w:eastAsia="zh-CN"/>
            </w:rPr>
            <w:t>八、效益分析</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_Toc3923 \h </w:instrText>
          </w:r>
          <w:r>
            <w:rPr>
              <w:rFonts w:ascii="Times New Roman" w:hAnsi="Times New Roman"/>
              <w:color w:val="auto"/>
              <w:sz w:val="28"/>
              <w:szCs w:val="28"/>
            </w:rPr>
            <w:fldChar w:fldCharType="separate"/>
          </w:r>
          <w:r>
            <w:rPr>
              <w:rFonts w:ascii="Times New Roman" w:hAnsi="Times New Roman"/>
              <w:color w:val="auto"/>
              <w:sz w:val="28"/>
              <w:szCs w:val="28"/>
            </w:rPr>
            <w:t>116</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3DD426F2">
          <w:pPr>
            <w:pStyle w:val="21"/>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_Toc3438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cs="Times New Roman"/>
              <w:bCs/>
              <w:color w:val="auto"/>
              <w:sz w:val="28"/>
              <w:szCs w:val="28"/>
              <w:highlight w:val="none"/>
              <w:lang w:val="en-US" w:eastAsia="zh-CN"/>
            </w:rPr>
            <w:t>九、创新带动农民增收模式</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_Toc3438 \h </w:instrText>
          </w:r>
          <w:r>
            <w:rPr>
              <w:rFonts w:ascii="Times New Roman" w:hAnsi="Times New Roman"/>
              <w:color w:val="auto"/>
              <w:sz w:val="28"/>
              <w:szCs w:val="28"/>
            </w:rPr>
            <w:fldChar w:fldCharType="separate"/>
          </w:r>
          <w:r>
            <w:rPr>
              <w:rFonts w:ascii="Times New Roman" w:hAnsi="Times New Roman"/>
              <w:color w:val="auto"/>
              <w:sz w:val="28"/>
              <w:szCs w:val="28"/>
            </w:rPr>
            <w:t>119</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7829D3C3">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_Toc21595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eastAsia="楷体_GB2312" w:cs="楷体_GB2312"/>
              <w:bCs w:val="0"/>
              <w:color w:val="auto"/>
              <w:sz w:val="28"/>
              <w:szCs w:val="28"/>
              <w:highlight w:val="none"/>
              <w:lang w:val="en-US" w:eastAsia="zh-CN"/>
            </w:rPr>
            <w:t>（一）建立农民参与园区建设决策的需求表达机制</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_Toc21595 \h </w:instrText>
          </w:r>
          <w:r>
            <w:rPr>
              <w:rFonts w:ascii="Times New Roman" w:hAnsi="Times New Roman"/>
              <w:color w:val="auto"/>
              <w:sz w:val="28"/>
              <w:szCs w:val="28"/>
            </w:rPr>
            <w:fldChar w:fldCharType="separate"/>
          </w:r>
          <w:r>
            <w:rPr>
              <w:rFonts w:ascii="Times New Roman" w:hAnsi="Times New Roman"/>
              <w:color w:val="auto"/>
              <w:sz w:val="28"/>
              <w:szCs w:val="28"/>
            </w:rPr>
            <w:t>119</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5D8C89DE">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_Toc9929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eastAsia="楷体_GB2312" w:cs="楷体_GB2312"/>
              <w:bCs w:val="0"/>
              <w:color w:val="auto"/>
              <w:sz w:val="28"/>
              <w:szCs w:val="28"/>
              <w:highlight w:val="none"/>
              <w:lang w:val="en-US" w:eastAsia="zh-CN"/>
            </w:rPr>
            <w:t>（二）“公司+农户”产业化带动模式升级</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_Toc9929 \h </w:instrText>
          </w:r>
          <w:r>
            <w:rPr>
              <w:rFonts w:ascii="Times New Roman" w:hAnsi="Times New Roman"/>
              <w:color w:val="auto"/>
              <w:sz w:val="28"/>
              <w:szCs w:val="28"/>
            </w:rPr>
            <w:fldChar w:fldCharType="separate"/>
          </w:r>
          <w:r>
            <w:rPr>
              <w:rFonts w:ascii="Times New Roman" w:hAnsi="Times New Roman"/>
              <w:color w:val="auto"/>
              <w:sz w:val="28"/>
              <w:szCs w:val="28"/>
            </w:rPr>
            <w:t>120</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3D6B632E">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_Toc14605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eastAsia="楷体_GB2312" w:cs="楷体_GB2312"/>
              <w:bCs w:val="0"/>
              <w:color w:val="auto"/>
              <w:sz w:val="28"/>
              <w:szCs w:val="28"/>
              <w:highlight w:val="none"/>
              <w:lang w:val="en-US" w:eastAsia="zh-CN"/>
            </w:rPr>
            <w:t>（三）探索“财政资金收益”模式</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_Toc14605 \h </w:instrText>
          </w:r>
          <w:r>
            <w:rPr>
              <w:rFonts w:ascii="Times New Roman" w:hAnsi="Times New Roman"/>
              <w:color w:val="auto"/>
              <w:sz w:val="28"/>
              <w:szCs w:val="28"/>
            </w:rPr>
            <w:fldChar w:fldCharType="separate"/>
          </w:r>
          <w:r>
            <w:rPr>
              <w:rFonts w:ascii="Times New Roman" w:hAnsi="Times New Roman"/>
              <w:color w:val="auto"/>
              <w:sz w:val="28"/>
              <w:szCs w:val="28"/>
            </w:rPr>
            <w:t>120</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57573023">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_Toc10247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eastAsia="楷体_GB2312" w:cs="楷体_GB2312"/>
              <w:bCs w:val="0"/>
              <w:color w:val="auto"/>
              <w:sz w:val="28"/>
              <w:szCs w:val="28"/>
              <w:highlight w:val="none"/>
              <w:lang w:val="en-US" w:eastAsia="zh-CN"/>
            </w:rPr>
            <w:t>（四）完善推广“土地租金+工资收入+股权分红”模式</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_Toc10247 \h </w:instrText>
          </w:r>
          <w:r>
            <w:rPr>
              <w:rFonts w:ascii="Times New Roman" w:hAnsi="Times New Roman"/>
              <w:color w:val="auto"/>
              <w:sz w:val="28"/>
              <w:szCs w:val="28"/>
            </w:rPr>
            <w:fldChar w:fldCharType="separate"/>
          </w:r>
          <w:r>
            <w:rPr>
              <w:rFonts w:ascii="Times New Roman" w:hAnsi="Times New Roman"/>
              <w:color w:val="auto"/>
              <w:sz w:val="28"/>
              <w:szCs w:val="28"/>
            </w:rPr>
            <w:t>121</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505421BF">
          <w:pPr>
            <w:pStyle w:val="21"/>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_Toc25205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cs="Times New Roman"/>
              <w:bCs/>
              <w:color w:val="auto"/>
              <w:sz w:val="28"/>
              <w:szCs w:val="28"/>
              <w:highlight w:val="none"/>
              <w:lang w:val="en-US" w:eastAsia="zh-CN"/>
            </w:rPr>
            <w:t>十、支持政策</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_Toc25205 \h </w:instrText>
          </w:r>
          <w:r>
            <w:rPr>
              <w:rFonts w:ascii="Times New Roman" w:hAnsi="Times New Roman"/>
              <w:color w:val="auto"/>
              <w:sz w:val="28"/>
              <w:szCs w:val="28"/>
            </w:rPr>
            <w:fldChar w:fldCharType="separate"/>
          </w:r>
          <w:r>
            <w:rPr>
              <w:rFonts w:ascii="Times New Roman" w:hAnsi="Times New Roman"/>
              <w:color w:val="auto"/>
              <w:sz w:val="28"/>
              <w:szCs w:val="28"/>
            </w:rPr>
            <w:t>122</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5228DF3B">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_Toc29446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eastAsia="楷体_GB2312" w:cs="楷体_GB2312"/>
              <w:bCs w:val="0"/>
              <w:color w:val="auto"/>
              <w:sz w:val="28"/>
              <w:szCs w:val="28"/>
              <w:highlight w:val="none"/>
              <w:lang w:val="en-US" w:eastAsia="zh-CN"/>
            </w:rPr>
            <w:t>（一）加强用地保障</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_Toc29446 \h </w:instrText>
          </w:r>
          <w:r>
            <w:rPr>
              <w:rFonts w:ascii="Times New Roman" w:hAnsi="Times New Roman"/>
              <w:color w:val="auto"/>
              <w:sz w:val="28"/>
              <w:szCs w:val="28"/>
            </w:rPr>
            <w:fldChar w:fldCharType="separate"/>
          </w:r>
          <w:r>
            <w:rPr>
              <w:rFonts w:ascii="Times New Roman" w:hAnsi="Times New Roman"/>
              <w:color w:val="auto"/>
              <w:sz w:val="28"/>
              <w:szCs w:val="28"/>
            </w:rPr>
            <w:t>122</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580755E9">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_Toc16374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eastAsia="楷体_GB2312" w:cs="楷体_GB2312"/>
              <w:bCs w:val="0"/>
              <w:color w:val="auto"/>
              <w:sz w:val="28"/>
              <w:szCs w:val="28"/>
              <w:highlight w:val="none"/>
              <w:lang w:val="en-US" w:eastAsia="zh-CN"/>
            </w:rPr>
            <w:t>（二）加大财政和金融支持力度</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_Toc16374 \h </w:instrText>
          </w:r>
          <w:r>
            <w:rPr>
              <w:rFonts w:ascii="Times New Roman" w:hAnsi="Times New Roman"/>
              <w:color w:val="auto"/>
              <w:sz w:val="28"/>
              <w:szCs w:val="28"/>
            </w:rPr>
            <w:fldChar w:fldCharType="separate"/>
          </w:r>
          <w:r>
            <w:rPr>
              <w:rFonts w:ascii="Times New Roman" w:hAnsi="Times New Roman"/>
              <w:color w:val="auto"/>
              <w:sz w:val="28"/>
              <w:szCs w:val="28"/>
            </w:rPr>
            <w:t>123</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3F7CD3DD">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_Toc25261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eastAsia="楷体_GB2312" w:cs="楷体_GB2312"/>
              <w:bCs w:val="0"/>
              <w:color w:val="auto"/>
              <w:sz w:val="28"/>
              <w:szCs w:val="28"/>
              <w:highlight w:val="none"/>
              <w:lang w:val="en-US" w:eastAsia="zh-CN"/>
            </w:rPr>
            <w:t>（三）落实税费减免政策</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_Toc25261 \h </w:instrText>
          </w:r>
          <w:r>
            <w:rPr>
              <w:rFonts w:ascii="Times New Roman" w:hAnsi="Times New Roman"/>
              <w:color w:val="auto"/>
              <w:sz w:val="28"/>
              <w:szCs w:val="28"/>
            </w:rPr>
            <w:fldChar w:fldCharType="separate"/>
          </w:r>
          <w:r>
            <w:rPr>
              <w:rFonts w:ascii="Times New Roman" w:hAnsi="Times New Roman"/>
              <w:color w:val="auto"/>
              <w:sz w:val="28"/>
              <w:szCs w:val="28"/>
            </w:rPr>
            <w:t>124</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5DD0D0C2">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_Toc3489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eastAsia="楷体_GB2312" w:cs="楷体_GB2312"/>
              <w:bCs w:val="0"/>
              <w:color w:val="auto"/>
              <w:sz w:val="28"/>
              <w:szCs w:val="28"/>
              <w:highlight w:val="none"/>
              <w:lang w:val="en-US" w:eastAsia="zh-CN"/>
            </w:rPr>
            <w:t>（四）加强流通和品牌建设</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_Toc3489 \h </w:instrText>
          </w:r>
          <w:r>
            <w:rPr>
              <w:rFonts w:ascii="Times New Roman" w:hAnsi="Times New Roman"/>
              <w:color w:val="auto"/>
              <w:sz w:val="28"/>
              <w:szCs w:val="28"/>
            </w:rPr>
            <w:fldChar w:fldCharType="separate"/>
          </w:r>
          <w:r>
            <w:rPr>
              <w:rFonts w:ascii="Times New Roman" w:hAnsi="Times New Roman"/>
              <w:color w:val="auto"/>
              <w:sz w:val="28"/>
              <w:szCs w:val="28"/>
            </w:rPr>
            <w:t>124</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6B1742BC">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_Toc1135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eastAsia="楷体_GB2312" w:cs="楷体_GB2312"/>
              <w:bCs w:val="0"/>
              <w:color w:val="auto"/>
              <w:sz w:val="28"/>
              <w:szCs w:val="28"/>
              <w:highlight w:val="none"/>
              <w:lang w:val="en-US" w:eastAsia="zh-CN"/>
            </w:rPr>
            <w:t>（五）加强基础设施建设</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_Toc1135 \h </w:instrText>
          </w:r>
          <w:r>
            <w:rPr>
              <w:rFonts w:ascii="Times New Roman" w:hAnsi="Times New Roman"/>
              <w:color w:val="auto"/>
              <w:sz w:val="28"/>
              <w:szCs w:val="28"/>
            </w:rPr>
            <w:fldChar w:fldCharType="separate"/>
          </w:r>
          <w:r>
            <w:rPr>
              <w:rFonts w:ascii="Times New Roman" w:hAnsi="Times New Roman"/>
              <w:color w:val="auto"/>
              <w:sz w:val="28"/>
              <w:szCs w:val="28"/>
            </w:rPr>
            <w:t>125</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77D8D1D6">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_Toc26168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eastAsia="楷体_GB2312" w:cs="楷体_GB2312"/>
              <w:bCs w:val="0"/>
              <w:color w:val="auto"/>
              <w:sz w:val="28"/>
              <w:szCs w:val="28"/>
              <w:highlight w:val="none"/>
              <w:lang w:val="en-US" w:eastAsia="zh-CN"/>
            </w:rPr>
            <w:t>（六）优化园区营商环境</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_Toc26168 \h </w:instrText>
          </w:r>
          <w:r>
            <w:rPr>
              <w:rFonts w:ascii="Times New Roman" w:hAnsi="Times New Roman"/>
              <w:color w:val="auto"/>
              <w:sz w:val="28"/>
              <w:szCs w:val="28"/>
            </w:rPr>
            <w:fldChar w:fldCharType="separate"/>
          </w:r>
          <w:r>
            <w:rPr>
              <w:rFonts w:ascii="Times New Roman" w:hAnsi="Times New Roman"/>
              <w:color w:val="auto"/>
              <w:sz w:val="28"/>
              <w:szCs w:val="28"/>
            </w:rPr>
            <w:t>125</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17CE6024">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_Toc9905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eastAsia="楷体_GB2312" w:cs="楷体_GB2312"/>
              <w:bCs w:val="0"/>
              <w:color w:val="auto"/>
              <w:sz w:val="28"/>
              <w:szCs w:val="28"/>
              <w:highlight w:val="none"/>
              <w:lang w:val="en-US" w:eastAsia="zh-CN"/>
            </w:rPr>
            <w:t>（七）强化科技创新体系建设</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_Toc9905 \h </w:instrText>
          </w:r>
          <w:r>
            <w:rPr>
              <w:rFonts w:ascii="Times New Roman" w:hAnsi="Times New Roman"/>
              <w:color w:val="auto"/>
              <w:sz w:val="28"/>
              <w:szCs w:val="28"/>
            </w:rPr>
            <w:fldChar w:fldCharType="separate"/>
          </w:r>
          <w:r>
            <w:rPr>
              <w:rFonts w:ascii="Times New Roman" w:hAnsi="Times New Roman"/>
              <w:color w:val="auto"/>
              <w:sz w:val="28"/>
              <w:szCs w:val="28"/>
            </w:rPr>
            <w:t>126</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7DC47ED9">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_Toc19061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eastAsia="楷体_GB2312" w:cs="楷体_GB2312"/>
              <w:bCs w:val="0"/>
              <w:color w:val="auto"/>
              <w:sz w:val="28"/>
              <w:szCs w:val="28"/>
              <w:highlight w:val="none"/>
              <w:lang w:val="en-US" w:eastAsia="zh-CN"/>
            </w:rPr>
            <w:t>（八）完善科技创新人才服务</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_Toc19061 \h </w:instrText>
          </w:r>
          <w:r>
            <w:rPr>
              <w:rFonts w:ascii="Times New Roman" w:hAnsi="Times New Roman"/>
              <w:color w:val="auto"/>
              <w:sz w:val="28"/>
              <w:szCs w:val="28"/>
            </w:rPr>
            <w:fldChar w:fldCharType="separate"/>
          </w:r>
          <w:r>
            <w:rPr>
              <w:rFonts w:ascii="Times New Roman" w:hAnsi="Times New Roman"/>
              <w:color w:val="auto"/>
              <w:sz w:val="28"/>
              <w:szCs w:val="28"/>
            </w:rPr>
            <w:t>126</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09473261">
          <w:pPr>
            <w:pStyle w:val="21"/>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_Toc11150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cs="Times New Roman"/>
              <w:bCs/>
              <w:color w:val="auto"/>
              <w:sz w:val="28"/>
              <w:szCs w:val="28"/>
              <w:highlight w:val="none"/>
              <w:lang w:val="en-US" w:eastAsia="zh-CN"/>
            </w:rPr>
            <w:t>十一、运行管理机制</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_Toc11150 \h </w:instrText>
          </w:r>
          <w:r>
            <w:rPr>
              <w:rFonts w:ascii="Times New Roman" w:hAnsi="Times New Roman"/>
              <w:color w:val="auto"/>
              <w:sz w:val="28"/>
              <w:szCs w:val="28"/>
            </w:rPr>
            <w:fldChar w:fldCharType="separate"/>
          </w:r>
          <w:r>
            <w:rPr>
              <w:rFonts w:ascii="Times New Roman" w:hAnsi="Times New Roman"/>
              <w:color w:val="auto"/>
              <w:sz w:val="28"/>
              <w:szCs w:val="28"/>
            </w:rPr>
            <w:t>127</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151A0AF0">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_Toc28485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eastAsia="楷体_GB2312" w:cs="楷体_GB2312"/>
              <w:bCs w:val="0"/>
              <w:color w:val="auto"/>
              <w:sz w:val="28"/>
              <w:szCs w:val="28"/>
              <w:highlight w:val="none"/>
              <w:lang w:val="en-US" w:eastAsia="zh-CN"/>
            </w:rPr>
            <w:t>（一）组织管理机制</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_Toc28485 \h </w:instrText>
          </w:r>
          <w:r>
            <w:rPr>
              <w:rFonts w:ascii="Times New Roman" w:hAnsi="Times New Roman"/>
              <w:color w:val="auto"/>
              <w:sz w:val="28"/>
              <w:szCs w:val="28"/>
            </w:rPr>
            <w:fldChar w:fldCharType="separate"/>
          </w:r>
          <w:r>
            <w:rPr>
              <w:rFonts w:ascii="Times New Roman" w:hAnsi="Times New Roman"/>
              <w:color w:val="auto"/>
              <w:sz w:val="28"/>
              <w:szCs w:val="28"/>
            </w:rPr>
            <w:t>127</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115F2527">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_Toc19086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eastAsia="楷体_GB2312" w:cs="楷体_GB2312"/>
              <w:bCs w:val="0"/>
              <w:color w:val="auto"/>
              <w:sz w:val="28"/>
              <w:szCs w:val="28"/>
              <w:highlight w:val="none"/>
              <w:lang w:val="en-US" w:eastAsia="zh-CN"/>
            </w:rPr>
            <w:t>（二）运行机制</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_Toc19086 \h </w:instrText>
          </w:r>
          <w:r>
            <w:rPr>
              <w:rFonts w:ascii="Times New Roman" w:hAnsi="Times New Roman"/>
              <w:color w:val="auto"/>
              <w:sz w:val="28"/>
              <w:szCs w:val="28"/>
            </w:rPr>
            <w:fldChar w:fldCharType="separate"/>
          </w:r>
          <w:r>
            <w:rPr>
              <w:rFonts w:ascii="Times New Roman" w:hAnsi="Times New Roman"/>
              <w:color w:val="auto"/>
              <w:sz w:val="28"/>
              <w:szCs w:val="28"/>
            </w:rPr>
            <w:t>128</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39EC0FC7">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_Toc29461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eastAsia="楷体_GB2312" w:cs="楷体_GB2312"/>
              <w:bCs w:val="0"/>
              <w:color w:val="auto"/>
              <w:sz w:val="28"/>
              <w:szCs w:val="28"/>
              <w:highlight w:val="none"/>
              <w:lang w:val="en-US" w:eastAsia="zh-CN"/>
            </w:rPr>
            <w:t>（三）创新投融资体制机制</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_Toc29461 \h </w:instrText>
          </w:r>
          <w:r>
            <w:rPr>
              <w:rFonts w:ascii="Times New Roman" w:hAnsi="Times New Roman"/>
              <w:color w:val="auto"/>
              <w:sz w:val="28"/>
              <w:szCs w:val="28"/>
            </w:rPr>
            <w:fldChar w:fldCharType="separate"/>
          </w:r>
          <w:r>
            <w:rPr>
              <w:rFonts w:ascii="Times New Roman" w:hAnsi="Times New Roman"/>
              <w:color w:val="auto"/>
              <w:sz w:val="28"/>
              <w:szCs w:val="28"/>
            </w:rPr>
            <w:t>129</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545D6C7B">
          <w:pPr>
            <w:pStyle w:val="21"/>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_Toc334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cs="Times New Roman"/>
              <w:bCs/>
              <w:color w:val="auto"/>
              <w:sz w:val="28"/>
              <w:szCs w:val="28"/>
              <w:highlight w:val="none"/>
              <w:lang w:val="en-US" w:eastAsia="zh-CN"/>
            </w:rPr>
            <w:t>十二、保障措施</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_Toc334 \h </w:instrText>
          </w:r>
          <w:r>
            <w:rPr>
              <w:rFonts w:ascii="Times New Roman" w:hAnsi="Times New Roman"/>
              <w:color w:val="auto"/>
              <w:sz w:val="28"/>
              <w:szCs w:val="28"/>
            </w:rPr>
            <w:fldChar w:fldCharType="separate"/>
          </w:r>
          <w:r>
            <w:rPr>
              <w:rFonts w:ascii="Times New Roman" w:hAnsi="Times New Roman"/>
              <w:color w:val="auto"/>
              <w:sz w:val="28"/>
              <w:szCs w:val="28"/>
            </w:rPr>
            <w:t>130</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252212EE">
          <w:pPr>
            <w:pStyle w:val="21"/>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_Toc23147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cs="Times New Roman"/>
              <w:bCs/>
              <w:color w:val="auto"/>
              <w:sz w:val="28"/>
              <w:szCs w:val="28"/>
              <w:highlight w:val="none"/>
              <w:lang w:val="en-US" w:eastAsia="zh-CN"/>
            </w:rPr>
            <w:t>十三、建设期满后思路措施</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_Toc23147 \h </w:instrText>
          </w:r>
          <w:r>
            <w:rPr>
              <w:rFonts w:ascii="Times New Roman" w:hAnsi="Times New Roman"/>
              <w:color w:val="auto"/>
              <w:sz w:val="28"/>
              <w:szCs w:val="28"/>
            </w:rPr>
            <w:fldChar w:fldCharType="separate"/>
          </w:r>
          <w:r>
            <w:rPr>
              <w:rFonts w:ascii="Times New Roman" w:hAnsi="Times New Roman"/>
              <w:color w:val="auto"/>
              <w:sz w:val="28"/>
              <w:szCs w:val="28"/>
            </w:rPr>
            <w:t>133</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4E4994F1">
          <w:pPr>
            <w:pStyle w:val="22"/>
            <w:tabs>
              <w:tab w:val="right" w:leader="dot" w:pos="8306"/>
            </w:tabs>
            <w:rPr>
              <w:rFonts w:ascii="Times New Roman" w:hAnsi="Times New Roman"/>
              <w:color w:val="auto"/>
              <w:sz w:val="28"/>
              <w:szCs w:val="28"/>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_Toc12841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eastAsia="楷体_GB2312" w:cs="楷体_GB2312"/>
              <w:color w:val="auto"/>
              <w:sz w:val="28"/>
              <w:szCs w:val="28"/>
              <w:highlight w:val="none"/>
              <w:lang w:eastAsia="zh-CN"/>
            </w:rPr>
            <w:t>（</w:t>
          </w:r>
          <w:r>
            <w:rPr>
              <w:rFonts w:hint="eastAsia" w:ascii="Times New Roman" w:hAnsi="Times New Roman" w:eastAsia="楷体_GB2312" w:cs="楷体_GB2312"/>
              <w:color w:val="auto"/>
              <w:sz w:val="28"/>
              <w:szCs w:val="28"/>
              <w:highlight w:val="none"/>
              <w:lang w:val="en-US" w:eastAsia="zh-CN"/>
            </w:rPr>
            <w:t>一</w:t>
          </w:r>
          <w:r>
            <w:rPr>
              <w:rFonts w:hint="eastAsia" w:ascii="Times New Roman" w:hAnsi="Times New Roman" w:eastAsia="楷体_GB2312" w:cs="楷体_GB2312"/>
              <w:color w:val="auto"/>
              <w:sz w:val="28"/>
              <w:szCs w:val="28"/>
              <w:highlight w:val="none"/>
              <w:lang w:eastAsia="zh-CN"/>
            </w:rPr>
            <w:t>）</w:t>
          </w:r>
          <w:r>
            <w:rPr>
              <w:rFonts w:hint="eastAsia" w:ascii="Times New Roman" w:hAnsi="Times New Roman" w:eastAsia="楷体_GB2312" w:cs="楷体_GB2312"/>
              <w:color w:val="auto"/>
              <w:sz w:val="28"/>
              <w:szCs w:val="28"/>
              <w:highlight w:val="none"/>
              <w:lang w:val="en-US" w:eastAsia="zh-CN"/>
            </w:rPr>
            <w:t>总体思路目标</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_Toc12841 \h </w:instrText>
          </w:r>
          <w:r>
            <w:rPr>
              <w:rFonts w:ascii="Times New Roman" w:hAnsi="Times New Roman"/>
              <w:color w:val="auto"/>
              <w:sz w:val="28"/>
              <w:szCs w:val="28"/>
            </w:rPr>
            <w:fldChar w:fldCharType="separate"/>
          </w:r>
          <w:r>
            <w:rPr>
              <w:rFonts w:ascii="Times New Roman" w:hAnsi="Times New Roman"/>
              <w:color w:val="auto"/>
              <w:sz w:val="28"/>
              <w:szCs w:val="28"/>
            </w:rPr>
            <w:t>133</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p>
        <w:p w14:paraId="068C6720">
          <w:pPr>
            <w:pStyle w:val="22"/>
            <w:tabs>
              <w:tab w:val="right" w:leader="dot" w:pos="8306"/>
            </w:tabs>
            <w:rPr>
              <w:rFonts w:ascii="Times New Roman" w:hAnsi="Times New Roman"/>
              <w:color w:val="auto"/>
            </w:rPr>
          </w:pPr>
          <w:r>
            <w:rPr>
              <w:rFonts w:hint="eastAsia" w:ascii="Times New Roman" w:hAnsi="Times New Roman"/>
              <w:color w:val="auto"/>
              <w:sz w:val="28"/>
              <w:szCs w:val="28"/>
              <w:highlight w:val="none"/>
              <w:lang w:val="en-US" w:eastAsia="zh-CN"/>
            </w:rPr>
            <w:fldChar w:fldCharType="begin"/>
          </w:r>
          <w:r>
            <w:rPr>
              <w:rFonts w:hint="eastAsia" w:ascii="Times New Roman" w:hAnsi="Times New Roman"/>
              <w:color w:val="auto"/>
              <w:sz w:val="28"/>
              <w:szCs w:val="28"/>
              <w:highlight w:val="none"/>
              <w:lang w:val="en-US" w:eastAsia="zh-CN"/>
            </w:rPr>
            <w:instrText xml:space="preserve"> HYPERLINK \l _Toc30302 </w:instrText>
          </w:r>
          <w:r>
            <w:rPr>
              <w:rFonts w:hint="eastAsia" w:ascii="Times New Roman" w:hAnsi="Times New Roman"/>
              <w:color w:val="auto"/>
              <w:sz w:val="28"/>
              <w:szCs w:val="28"/>
              <w:highlight w:val="none"/>
              <w:lang w:val="en-US" w:eastAsia="zh-CN"/>
            </w:rPr>
            <w:fldChar w:fldCharType="separate"/>
          </w:r>
          <w:r>
            <w:rPr>
              <w:rFonts w:hint="eastAsia" w:ascii="Times New Roman" w:hAnsi="Times New Roman" w:eastAsia="楷体_GB2312" w:cs="楷体_GB2312"/>
              <w:color w:val="auto"/>
              <w:sz w:val="28"/>
              <w:szCs w:val="28"/>
              <w:highlight w:val="none"/>
              <w:lang w:eastAsia="zh-CN"/>
            </w:rPr>
            <w:t>（</w:t>
          </w:r>
          <w:r>
            <w:rPr>
              <w:rFonts w:hint="eastAsia" w:ascii="Times New Roman" w:hAnsi="Times New Roman" w:eastAsia="楷体_GB2312" w:cs="楷体_GB2312"/>
              <w:color w:val="auto"/>
              <w:sz w:val="28"/>
              <w:szCs w:val="28"/>
              <w:highlight w:val="none"/>
              <w:lang w:val="en-US" w:eastAsia="zh-CN"/>
            </w:rPr>
            <w:t>二</w:t>
          </w:r>
          <w:r>
            <w:rPr>
              <w:rFonts w:hint="eastAsia" w:ascii="Times New Roman" w:hAnsi="Times New Roman" w:eastAsia="楷体_GB2312" w:cs="楷体_GB2312"/>
              <w:color w:val="auto"/>
              <w:sz w:val="28"/>
              <w:szCs w:val="28"/>
              <w:highlight w:val="none"/>
              <w:lang w:eastAsia="zh-CN"/>
            </w:rPr>
            <w:t>）</w:t>
          </w:r>
          <w:r>
            <w:rPr>
              <w:rFonts w:hint="eastAsia" w:ascii="Times New Roman" w:hAnsi="Times New Roman" w:eastAsia="楷体_GB2312" w:cs="楷体_GB2312"/>
              <w:color w:val="auto"/>
              <w:sz w:val="28"/>
              <w:szCs w:val="28"/>
              <w:highlight w:val="none"/>
              <w:lang w:val="en-US" w:eastAsia="zh-CN"/>
            </w:rPr>
            <w:t>实施路径</w:t>
          </w:r>
          <w:r>
            <w:rPr>
              <w:rFonts w:ascii="Times New Roman" w:hAnsi="Times New Roman"/>
              <w:color w:val="auto"/>
              <w:sz w:val="28"/>
              <w:szCs w:val="28"/>
            </w:rPr>
            <w:tab/>
          </w:r>
          <w:r>
            <w:rPr>
              <w:rFonts w:ascii="Times New Roman" w:hAnsi="Times New Roman"/>
              <w:color w:val="auto"/>
              <w:sz w:val="28"/>
              <w:szCs w:val="28"/>
            </w:rPr>
            <w:fldChar w:fldCharType="begin"/>
          </w:r>
          <w:r>
            <w:rPr>
              <w:rFonts w:ascii="Times New Roman" w:hAnsi="Times New Roman"/>
              <w:color w:val="auto"/>
              <w:sz w:val="28"/>
              <w:szCs w:val="28"/>
            </w:rPr>
            <w:instrText xml:space="preserve"> PAGEREF _Toc30302 \h </w:instrText>
          </w:r>
          <w:r>
            <w:rPr>
              <w:rFonts w:ascii="Times New Roman" w:hAnsi="Times New Roman"/>
              <w:color w:val="auto"/>
              <w:sz w:val="28"/>
              <w:szCs w:val="28"/>
            </w:rPr>
            <w:fldChar w:fldCharType="separate"/>
          </w:r>
          <w:r>
            <w:rPr>
              <w:rFonts w:ascii="Times New Roman" w:hAnsi="Times New Roman"/>
              <w:color w:val="auto"/>
              <w:sz w:val="28"/>
              <w:szCs w:val="28"/>
            </w:rPr>
            <w:t>134</w:t>
          </w:r>
          <w:r>
            <w:rPr>
              <w:rFonts w:ascii="Times New Roman" w:hAnsi="Times New Roman"/>
              <w:color w:val="auto"/>
              <w:sz w:val="28"/>
              <w:szCs w:val="28"/>
            </w:rPr>
            <w:fldChar w:fldCharType="end"/>
          </w:r>
          <w:r>
            <w:rPr>
              <w:rFonts w:hint="eastAsia" w:ascii="Times New Roman" w:hAnsi="Times New Roman"/>
              <w:color w:val="auto"/>
              <w:sz w:val="28"/>
              <w:szCs w:val="28"/>
              <w:highlight w:val="none"/>
              <w:lang w:val="en-US" w:eastAsia="zh-CN"/>
            </w:rPr>
            <w:fldChar w:fldCharType="end"/>
          </w:r>
          <w:bookmarkEnd w:id="359"/>
        </w:p>
        <w:p w14:paraId="17122869">
          <w:pPr>
            <w:pStyle w:val="3"/>
            <w:pageBreakBefore w:val="0"/>
            <w:kinsoku/>
            <w:overflowPunct/>
            <w:topLinePunct w:val="0"/>
            <w:autoSpaceDE/>
            <w:autoSpaceDN/>
            <w:bidi w:val="0"/>
            <w:adjustRightInd/>
            <w:snapToGrid/>
            <w:spacing w:line="590" w:lineRule="exact"/>
            <w:outlineLvl w:val="9"/>
            <w:rPr>
              <w:rFonts w:hint="eastAsia" w:ascii="Times New Roman" w:hAnsi="Times New Roman"/>
              <w:color w:val="auto"/>
              <w:highlight w:val="none"/>
              <w:lang w:val="en-US" w:eastAsia="zh-CN"/>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eastAsia" w:ascii="Times New Roman" w:hAnsi="Times New Roman"/>
              <w:color w:val="auto"/>
              <w:highlight w:val="none"/>
              <w:lang w:val="en-US" w:eastAsia="zh-CN"/>
            </w:rPr>
            <w:fldChar w:fldCharType="end"/>
          </w:r>
        </w:p>
      </w:sdtContent>
    </w:sdt>
    <w:bookmarkEnd w:id="0"/>
    <w:p w14:paraId="0CC2104E">
      <w:pPr>
        <w:pStyle w:val="3"/>
        <w:keepNext/>
        <w:pageBreakBefore w:val="0"/>
        <w:spacing w:before="0" w:beforeLines="-2147483648" w:after="0" w:afterLines="-2147483648" w:line="360" w:lineRule="auto"/>
        <w:ind w:firstLine="640" w:firstLineChars="200"/>
        <w:jc w:val="both"/>
        <w:rPr>
          <w:rFonts w:hint="eastAsia" w:ascii="Times New Roman" w:hAnsi="Times New Roman" w:cs="Times New Roman"/>
          <w:b w:val="0"/>
          <w:bCs/>
          <w:color w:val="auto"/>
          <w:szCs w:val="44"/>
          <w:highlight w:val="none"/>
          <w:lang w:val="en-US" w:eastAsia="zh-CN"/>
        </w:rPr>
      </w:pPr>
      <w:bookmarkStart w:id="1" w:name="_Toc16224"/>
      <w:r>
        <w:rPr>
          <w:rFonts w:hint="eastAsia" w:ascii="Times New Roman" w:hAnsi="Times New Roman" w:cs="Times New Roman"/>
          <w:b w:val="0"/>
          <w:bCs/>
          <w:color w:val="auto"/>
          <w:szCs w:val="44"/>
          <w:highlight w:val="none"/>
          <w:lang w:val="en-US" w:eastAsia="zh-CN"/>
        </w:rPr>
        <w:t>一、基本情况</w:t>
      </w:r>
      <w:bookmarkEnd w:id="1"/>
    </w:p>
    <w:p w14:paraId="5E9C511B">
      <w:pPr>
        <w:pStyle w:val="4"/>
        <w:keepLines/>
        <w:pageBreakBefore w:val="0"/>
        <w:kinsoku/>
        <w:overflowPunct/>
        <w:topLinePunct w:val="0"/>
        <w:autoSpaceDE/>
        <w:autoSpaceDN/>
        <w:bidi w:val="0"/>
        <w:adjustRightInd/>
        <w:snapToGrid/>
        <w:spacing w:line="590" w:lineRule="exact"/>
        <w:ind w:firstLine="640"/>
        <w:outlineLvl w:val="1"/>
        <w:rPr>
          <w:rFonts w:hint="eastAsia" w:ascii="Times New Roman" w:hAnsi="Times New Roman" w:eastAsia="楷体_GB2312" w:cs="楷体_GB2312"/>
          <w:b/>
          <w:bCs w:val="0"/>
          <w:color w:val="auto"/>
          <w:highlight w:val="none"/>
          <w:lang w:val="en-US" w:eastAsia="zh-CN"/>
        </w:rPr>
      </w:pPr>
      <w:bookmarkStart w:id="2" w:name="_Toc23519"/>
      <w:r>
        <w:rPr>
          <w:rFonts w:hint="eastAsia" w:ascii="Times New Roman" w:hAnsi="Times New Roman" w:eastAsia="楷体_GB2312" w:cs="楷体_GB2312"/>
          <w:b/>
          <w:bCs w:val="0"/>
          <w:color w:val="auto"/>
          <w:highlight w:val="none"/>
          <w:lang w:val="en-US" w:eastAsia="zh-CN"/>
        </w:rPr>
        <w:t>（一）产业园所在县基本情况</w:t>
      </w:r>
      <w:bookmarkEnd w:id="2"/>
    </w:p>
    <w:p w14:paraId="367DA214">
      <w:pPr>
        <w:bidi w:val="0"/>
        <w:rPr>
          <w:rFonts w:hint="default" w:ascii="Times New Roman" w:hAnsi="Times New Roman"/>
          <w:color w:val="auto"/>
          <w:highlight w:val="none"/>
        </w:rPr>
      </w:pPr>
      <w:r>
        <w:rPr>
          <w:rFonts w:hint="default" w:ascii="Times New Roman" w:hAnsi="Times New Roman"/>
          <w:color w:val="auto"/>
          <w:highlight w:val="none"/>
        </w:rPr>
        <w:t>澄海区</w:t>
      </w:r>
      <w:r>
        <w:rPr>
          <w:rFonts w:hint="eastAsia" w:ascii="Times New Roman" w:hAnsi="Times New Roman"/>
          <w:color w:val="auto"/>
          <w:highlight w:val="none"/>
          <w:lang w:val="en-US" w:eastAsia="zh-CN"/>
        </w:rPr>
        <w:t>为“世界鹅王之乡”“粤东门户”“广东省著名侨乡”，</w:t>
      </w:r>
      <w:r>
        <w:rPr>
          <w:rFonts w:hint="default" w:ascii="Times New Roman" w:hAnsi="Times New Roman"/>
          <w:color w:val="auto"/>
          <w:highlight w:val="none"/>
        </w:rPr>
        <w:t>位于广东省东部、韩江三角洲出海口，东北接潮州市饶平县，西北界潮州市潮安区，西南毗邻汕头市龙湖区，东南与南澳县隔海相望。境域处东经116°41至116°54和北纬23°23'至23°38'之间，北回归线横贯区中，东西宽22公里，南北长27.85公里，土地总面积345.23平方公里（其中耕地面积19.8万亩）</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管辖海域面积419.77平方公里</w:t>
      </w:r>
      <w:r>
        <w:rPr>
          <w:rFonts w:hint="default" w:ascii="Times New Roman" w:hAnsi="Times New Roman"/>
          <w:color w:val="auto"/>
          <w:highlight w:val="none"/>
        </w:rPr>
        <w:t>，人口87.44万人（其中农业人口60.2万人），下辖凤翔、澄华、广益3个街道和莲下、莲上、溪南、东里、莲华、盐鸿、隆都、上华8个镇共184条村（社区），全区农村经联社204个。下辖11个镇（街），土地总面积345.23平方公里。是汕头经济特区发展建设的桥头堡、粤东地区门户枢纽，也是潮侨文化的发源地、海上古丝绸之路的发祥地。荣获“全国粮食生产先进单位”“全国村民自治模范区”“全国科技进步先进区”“2012年度中国市辖区综合实力百强”“第三批国家现代农业示范区”“广东省特色农产品优势区”“广东省电子商务进农村综合示范县”等称号。</w:t>
      </w:r>
    </w:p>
    <w:p w14:paraId="19EFCF4F">
      <w:pPr>
        <w:pStyle w:val="4"/>
        <w:rPr>
          <w:rFonts w:hint="eastAsia" w:ascii="Times New Roman" w:hAnsi="Times New Roman" w:cs="仿宋_GB2312"/>
          <w:b/>
          <w:bCs w:val="0"/>
          <w:color w:val="auto"/>
          <w:szCs w:val="32"/>
          <w:highlight w:val="none"/>
          <w:lang w:val="en-US" w:eastAsia="zh-CN"/>
        </w:rPr>
      </w:pPr>
      <w:r>
        <w:rPr>
          <w:rFonts w:hint="eastAsia" w:ascii="Times New Roman" w:hAnsi="Times New Roman" w:cs="仿宋_GB2312"/>
          <w:b/>
          <w:bCs w:val="0"/>
          <w:color w:val="auto"/>
          <w:szCs w:val="32"/>
          <w:highlight w:val="none"/>
          <w:lang w:val="en-US" w:eastAsia="zh-CN"/>
        </w:rPr>
        <w:t>1.区位交通条件</w:t>
      </w:r>
    </w:p>
    <w:p w14:paraId="56EF3E08">
      <w:pPr>
        <w:bidi w:val="0"/>
        <w:ind w:firstLine="640" w:firstLineChars="200"/>
        <w:rPr>
          <w:rFonts w:hint="default" w:ascii="Times New Roman" w:hAnsi="Times New Roman"/>
          <w:b/>
          <w:bCs/>
          <w:color w:val="auto"/>
          <w:highlight w:val="none"/>
        </w:rPr>
      </w:pPr>
      <w:r>
        <w:rPr>
          <w:rFonts w:hint="eastAsia" w:ascii="Times New Roman" w:hAnsi="Times New Roman"/>
          <w:color w:val="auto"/>
          <w:highlight w:val="none"/>
          <w:lang w:val="en-US" w:eastAsia="zh-CN"/>
        </w:rPr>
        <w:t>澄海区历来是粤东、闽西南和赣南一带的重要交通枢纽，</w:t>
      </w:r>
      <w:r>
        <w:rPr>
          <w:rFonts w:hint="default" w:ascii="Times New Roman" w:hAnsi="Times New Roman"/>
          <w:color w:val="auto"/>
          <w:highlight w:val="none"/>
        </w:rPr>
        <w:t>位于全国“两横三纵”城市化战略格局中沿海通道纵轴南段，区境内有沈海高速公路、潮汕高速环线，区内设有湖心出口和下北出口，国道G324、省道S231、省道S335和金鸿公路贯穿全境，距揭阳潮汕机场50公里，距离潮汕高铁站16公里</w:t>
      </w:r>
      <w:r>
        <w:rPr>
          <w:rFonts w:hint="eastAsia" w:ascii="Times New Roman" w:hAnsi="Times New Roman"/>
          <w:color w:val="auto"/>
          <w:highlight w:val="none"/>
          <w:lang w:eastAsia="zh-CN"/>
        </w:rPr>
        <w:t>，</w:t>
      </w:r>
      <w:r>
        <w:rPr>
          <w:rFonts w:hint="default" w:ascii="Times New Roman" w:hAnsi="Times New Roman"/>
          <w:color w:val="auto"/>
          <w:highlight w:val="none"/>
        </w:rPr>
        <w:t>距汕头火车站12公里</w:t>
      </w:r>
      <w:r>
        <w:rPr>
          <w:rFonts w:hint="eastAsia" w:ascii="Times New Roman" w:hAnsi="Times New Roman"/>
          <w:color w:val="auto"/>
          <w:highlight w:val="none"/>
          <w:lang w:eastAsia="zh-CN"/>
        </w:rPr>
        <w:t>，</w:t>
      </w:r>
      <w:r>
        <w:rPr>
          <w:rFonts w:hint="default" w:ascii="Times New Roman" w:hAnsi="Times New Roman"/>
          <w:color w:val="auto"/>
          <w:highlight w:val="none"/>
        </w:rPr>
        <w:t>距沈海高速外砂入口5公里</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铺设水路交通网</w:t>
      </w:r>
      <w:r>
        <w:rPr>
          <w:rFonts w:hint="default" w:ascii="Times New Roman" w:hAnsi="Times New Roman"/>
          <w:color w:val="auto"/>
          <w:highlight w:val="none"/>
        </w:rPr>
        <w:t>，形成了“一港多渡</w:t>
      </w:r>
      <w:r>
        <w:rPr>
          <w:rFonts w:hint="eastAsia" w:ascii="Times New Roman" w:hAnsi="Times New Roman"/>
          <w:color w:val="auto"/>
          <w:highlight w:val="none"/>
          <w:lang w:eastAsia="zh-CN"/>
        </w:rPr>
        <w:t>”“</w:t>
      </w:r>
      <w:r>
        <w:rPr>
          <w:rFonts w:hint="default" w:ascii="Times New Roman" w:hAnsi="Times New Roman"/>
          <w:color w:val="auto"/>
          <w:highlight w:val="none"/>
        </w:rPr>
        <w:t>一主十辅”的水路运输发展格局</w:t>
      </w:r>
      <w:r>
        <w:rPr>
          <w:rFonts w:hint="eastAsia" w:ascii="Times New Roman" w:hAnsi="Times New Roman"/>
          <w:color w:val="auto"/>
          <w:highlight w:val="none"/>
          <w:lang w:eastAsia="zh-CN"/>
        </w:rPr>
        <w:t>。</w:t>
      </w:r>
      <w:r>
        <w:rPr>
          <w:rFonts w:hint="default" w:ascii="Times New Roman" w:hAnsi="Times New Roman"/>
          <w:color w:val="auto"/>
          <w:highlight w:val="none"/>
        </w:rPr>
        <w:t>距汕头国际集装箱码头15公里，区内有渡头渡、前沟渡等码头渡口共10个</w:t>
      </w:r>
      <w:r>
        <w:rPr>
          <w:rFonts w:hint="eastAsia" w:ascii="Times New Roman" w:hAnsi="Times New Roman"/>
          <w:color w:val="auto"/>
          <w:highlight w:val="none"/>
          <w:lang w:eastAsia="zh-CN"/>
        </w:rPr>
        <w:t>，莱芜港口拥有500吨级多用途泊位2个，</w:t>
      </w:r>
      <w:r>
        <w:rPr>
          <w:rFonts w:hint="eastAsia" w:ascii="Times New Roman" w:hAnsi="Times New Roman"/>
          <w:color w:val="auto"/>
          <w:highlight w:val="none"/>
          <w:lang w:val="en-US" w:eastAsia="zh-CN"/>
        </w:rPr>
        <w:t>是名副其实的“粤东门户”</w:t>
      </w:r>
      <w:r>
        <w:rPr>
          <w:rFonts w:hint="default" w:ascii="Times New Roman" w:hAnsi="Times New Roman"/>
          <w:color w:val="auto"/>
          <w:highlight w:val="none"/>
        </w:rPr>
        <w:t>。</w:t>
      </w:r>
    </w:p>
    <w:p w14:paraId="19F94277">
      <w:pPr>
        <w:bidi w:val="0"/>
        <w:ind w:firstLine="640"/>
        <w:rPr>
          <w:rFonts w:hint="default" w:ascii="Times New Roman" w:hAnsi="Times New Roman" w:eastAsia="仿宋_GB2312"/>
          <w:color w:val="auto"/>
          <w:highlight w:val="none"/>
          <w:lang w:val="en-US" w:eastAsia="zh-CN"/>
        </w:rPr>
      </w:pPr>
      <w:r>
        <w:rPr>
          <w:rFonts w:hint="eastAsia" w:ascii="Times New Roman" w:hAnsi="Times New Roman"/>
          <w:color w:val="auto"/>
          <w:highlight w:val="none"/>
          <w:lang w:val="en-US" w:eastAsia="zh-CN"/>
        </w:rPr>
        <w:t>区内交通线网实现全覆盖，基本建成以二条高速公路、三条普通国道和四条普通省道为骨架的“2+3+4”公路运输骨架网络系统，形成“一城、两输、四高、五站、五轨、六线”基础设施格局。“一城”即宝奥城，“两输”即粤海、海澳综合运输服务中心，“四高”即潮汕环线高速、沈海高速、厦深高铁、漳汕高铁，“五站”即澄海客运中心站（定位国家级客运站）、樟东汽车客运站、鹏达客运站、澄海客运站、莲华客运站，“五轨”即2条高速铁路（厦深高速铁路、漳汕高速铁路）、1条城际轨道线（汕头-潮州城际铁路）、2条市域轨道（城轨1号线、城轨2号线），“六线”即除高速公路外的6条普通国省道运输干线。全区客运班线23条，投入运营农村客运车辆150辆，实现镇镇有站，村村有亭的农村公交客运网络。基本实现区内快捷联系，区外便捷联通，初步形成以公路运输为主导潮汕机场、潮汕高铁站、漳汕高铁、市域轨道交通为共享，其他运输方式为补充的现代化综合交通运输体系。</w:t>
      </w:r>
    </w:p>
    <w:p w14:paraId="5563F893">
      <w:pPr>
        <w:pStyle w:val="4"/>
        <w:rPr>
          <w:rFonts w:hint="eastAsia" w:ascii="Times New Roman" w:hAnsi="Times New Roman" w:cs="仿宋_GB2312"/>
          <w:b/>
          <w:bCs w:val="0"/>
          <w:color w:val="auto"/>
          <w:szCs w:val="32"/>
          <w:highlight w:val="none"/>
          <w:lang w:val="en-US" w:eastAsia="zh-CN"/>
        </w:rPr>
      </w:pPr>
      <w:r>
        <w:rPr>
          <w:rFonts w:hint="eastAsia" w:ascii="Times New Roman" w:hAnsi="Times New Roman" w:cs="仿宋_GB2312"/>
          <w:b/>
          <w:bCs w:val="0"/>
          <w:color w:val="auto"/>
          <w:szCs w:val="32"/>
          <w:highlight w:val="none"/>
          <w:lang w:val="en-US" w:eastAsia="zh-CN"/>
        </w:rPr>
        <w:t>2.基础设施条件</w:t>
      </w:r>
    </w:p>
    <w:p w14:paraId="5138F0C4">
      <w:pPr>
        <w:pageBreakBefore w:val="0"/>
        <w:kinsoku/>
        <w:overflowPunct/>
        <w:topLinePunct w:val="0"/>
        <w:autoSpaceDE/>
        <w:autoSpaceDN/>
        <w:bidi w:val="0"/>
        <w:adjustRightInd/>
        <w:snapToGrid/>
        <w:spacing w:line="240" w:lineRule="auto"/>
        <w:ind w:firstLine="640"/>
        <w:rPr>
          <w:rFonts w:hint="eastAsia" w:ascii="Times New Roman" w:hAnsi="Times New Roman" w:eastAsia="仿宋_GB2312" w:cstheme="minorBidi"/>
          <w:i w:val="0"/>
          <w:iCs w:val="0"/>
          <w:caps w:val="0"/>
          <w:color w:val="auto"/>
          <w:spacing w:val="0"/>
          <w:sz w:val="32"/>
          <w:szCs w:val="22"/>
          <w:highlight w:val="none"/>
          <w:lang w:val="en-US" w:eastAsia="zh-CN"/>
        </w:rPr>
      </w:pPr>
      <w:r>
        <w:rPr>
          <w:rFonts w:hint="eastAsia" w:ascii="Times New Roman" w:hAnsi="Times New Roman" w:eastAsia="仿宋_GB2312" w:cstheme="minorBidi"/>
          <w:i w:val="0"/>
          <w:iCs w:val="0"/>
          <w:caps w:val="0"/>
          <w:color w:val="auto"/>
          <w:spacing w:val="0"/>
          <w:sz w:val="32"/>
          <w:szCs w:val="22"/>
          <w:highlight w:val="none"/>
          <w:lang w:val="en-US" w:eastAsia="zh-CN"/>
        </w:rPr>
        <w:t>给排水方面，完成3个饮用水水源保护区划定和勘界立标，保护区水质达标率稳定保持100%，持续推进农村供水“三同五化”改造提升，目前农村供水规模化比例达90%以上，农村自来水普及率稳定在99%以上。建成4座城镇污水处理厂和18座分散式污水处理站，全区生活污水日处理能力22.7万吨，建成以农村2443.3公里细微管道为源头收集、320公里市政污水干管为收运架构的城乡污水处理“一张网”系统，农村生活污水治理率达到90%以上。</w:t>
      </w:r>
    </w:p>
    <w:p w14:paraId="39FBEF5E">
      <w:pPr>
        <w:pageBreakBefore w:val="0"/>
        <w:kinsoku/>
        <w:overflowPunct/>
        <w:topLinePunct w:val="0"/>
        <w:autoSpaceDE/>
        <w:autoSpaceDN/>
        <w:bidi w:val="0"/>
        <w:adjustRightInd/>
        <w:snapToGrid/>
        <w:spacing w:line="240" w:lineRule="auto"/>
        <w:ind w:firstLine="640"/>
        <w:rPr>
          <w:rFonts w:hint="eastAsia" w:ascii="Times New Roman" w:hAnsi="Times New Roman" w:cstheme="minorBidi"/>
          <w:b w:val="0"/>
          <w:bCs w:val="0"/>
          <w:i w:val="0"/>
          <w:iCs w:val="0"/>
          <w:caps w:val="0"/>
          <w:color w:val="auto"/>
          <w:spacing w:val="0"/>
          <w:sz w:val="32"/>
          <w:szCs w:val="22"/>
          <w:highlight w:val="none"/>
          <w:lang w:val="en-US" w:eastAsia="zh-CN"/>
        </w:rPr>
      </w:pPr>
      <w:r>
        <w:rPr>
          <w:rFonts w:hint="eastAsia" w:ascii="Times New Roman" w:hAnsi="Times New Roman" w:eastAsia="仿宋_GB2312" w:cstheme="minorBidi"/>
          <w:i w:val="0"/>
          <w:iCs w:val="0"/>
          <w:caps w:val="0"/>
          <w:color w:val="auto"/>
          <w:spacing w:val="0"/>
          <w:sz w:val="32"/>
          <w:szCs w:val="22"/>
          <w:highlight w:val="none"/>
          <w:lang w:val="en-US" w:eastAsia="zh-CN"/>
        </w:rPr>
        <w:t>电力供应方面，</w:t>
      </w:r>
      <w:r>
        <w:rPr>
          <w:rFonts w:hint="eastAsia" w:ascii="Times New Roman" w:hAnsi="Times New Roman" w:cstheme="minorBidi"/>
          <w:b w:val="0"/>
          <w:bCs w:val="0"/>
          <w:i w:val="0"/>
          <w:iCs w:val="0"/>
          <w:caps w:val="0"/>
          <w:color w:val="auto"/>
          <w:spacing w:val="0"/>
          <w:sz w:val="32"/>
          <w:szCs w:val="22"/>
          <w:highlight w:val="none"/>
          <w:lang w:val="en-US" w:eastAsia="zh-CN"/>
        </w:rPr>
        <w:t>“十三五”期间澄海主网新增110KV变电站一座，主变台数新增4台，主变容量新增2.885万千伏安。澄海配网典型接线率达到95.26%，中压线路联络率达到90.49%，可转供电率达83.2%，自动化覆盖率达到90%。大力发展新能源，建成澄海宝奥城4.5MW太阳能光伏发电项目，进一步改善全区能源供给。澄海电网综合管理评价在南方电网五省区259个县级单位中排名第一。</w:t>
      </w:r>
    </w:p>
    <w:p w14:paraId="3E602BB8">
      <w:pPr>
        <w:pageBreakBefore w:val="0"/>
        <w:kinsoku/>
        <w:overflowPunct/>
        <w:topLinePunct w:val="0"/>
        <w:autoSpaceDE/>
        <w:autoSpaceDN/>
        <w:bidi w:val="0"/>
        <w:adjustRightInd/>
        <w:snapToGrid/>
        <w:spacing w:line="240" w:lineRule="auto"/>
        <w:ind w:firstLine="640"/>
        <w:rPr>
          <w:rFonts w:hint="eastAsia" w:ascii="Times New Roman" w:hAnsi="Times New Roman" w:cstheme="minorBidi"/>
          <w:b w:val="0"/>
          <w:bCs w:val="0"/>
          <w:i w:val="0"/>
          <w:iCs w:val="0"/>
          <w:caps w:val="0"/>
          <w:color w:val="auto"/>
          <w:spacing w:val="0"/>
          <w:sz w:val="32"/>
          <w:szCs w:val="22"/>
          <w:highlight w:val="none"/>
          <w:lang w:val="en-US" w:eastAsia="zh-CN"/>
        </w:rPr>
      </w:pPr>
      <w:r>
        <w:rPr>
          <w:rFonts w:hint="eastAsia" w:ascii="Times New Roman" w:hAnsi="Times New Roman" w:cstheme="minorBidi"/>
          <w:b w:val="0"/>
          <w:bCs w:val="0"/>
          <w:i w:val="0"/>
          <w:iCs w:val="0"/>
          <w:caps w:val="0"/>
          <w:color w:val="auto"/>
          <w:spacing w:val="0"/>
          <w:sz w:val="32"/>
          <w:szCs w:val="22"/>
          <w:highlight w:val="none"/>
          <w:lang w:val="en-US" w:eastAsia="zh-CN"/>
        </w:rPr>
        <w:t>道路建设方面，全力推进“四好农村路”建设，2023年“四好农村路”建设完成农村公路项目1.159公里、村道安防27.28公里、危桥改造1座以及打造美丽农村路25公里。推进村内道路硬底化建设，村内干路全部实现硬底化。2023年，全区共完成村内支路硬底化建设37.35公里，村内巷路硬底化建设36.16公里。村内支路硬底化率92.9%，村内巷路硬底化率94.6%。</w:t>
      </w:r>
    </w:p>
    <w:p w14:paraId="09772A3E">
      <w:pPr>
        <w:pageBreakBefore w:val="0"/>
        <w:kinsoku/>
        <w:overflowPunct/>
        <w:topLinePunct w:val="0"/>
        <w:autoSpaceDE/>
        <w:autoSpaceDN/>
        <w:bidi w:val="0"/>
        <w:adjustRightInd/>
        <w:snapToGrid/>
        <w:spacing w:line="240" w:lineRule="auto"/>
        <w:ind w:firstLine="640"/>
        <w:rPr>
          <w:rFonts w:hint="eastAsia" w:ascii="Times New Roman" w:hAnsi="Times New Roman" w:cstheme="minorBidi"/>
          <w:b w:val="0"/>
          <w:bCs w:val="0"/>
          <w:i w:val="0"/>
          <w:iCs w:val="0"/>
          <w:caps w:val="0"/>
          <w:color w:val="auto"/>
          <w:spacing w:val="0"/>
          <w:sz w:val="32"/>
          <w:szCs w:val="22"/>
          <w:highlight w:val="none"/>
          <w:lang w:val="en-US" w:eastAsia="zh-CN"/>
        </w:rPr>
      </w:pPr>
      <w:r>
        <w:rPr>
          <w:rFonts w:hint="eastAsia" w:ascii="Times New Roman" w:hAnsi="Times New Roman" w:cstheme="minorBidi"/>
          <w:b w:val="0"/>
          <w:bCs w:val="0"/>
          <w:i w:val="0"/>
          <w:iCs w:val="0"/>
          <w:caps w:val="0"/>
          <w:color w:val="auto"/>
          <w:spacing w:val="0"/>
          <w:sz w:val="32"/>
          <w:szCs w:val="22"/>
          <w:highlight w:val="none"/>
          <w:lang w:val="en-US" w:eastAsia="zh-CN"/>
        </w:rPr>
        <w:t>网络覆盖方面，澄海区固定电话用户9.42万户，移动电话用户108.1万户，宽带光纤用户24.56万户，光纤入户率123.3%，100兆以上光纤接入用户占比96%，加速千兆光网建设。5G基站累计建成开通1118座，5G网络实现全覆盖。</w:t>
      </w:r>
    </w:p>
    <w:p w14:paraId="6B212AC7">
      <w:pPr>
        <w:pageBreakBefore w:val="0"/>
        <w:kinsoku/>
        <w:overflowPunct/>
        <w:topLinePunct w:val="0"/>
        <w:autoSpaceDE/>
        <w:autoSpaceDN/>
        <w:bidi w:val="0"/>
        <w:adjustRightInd/>
        <w:snapToGrid/>
        <w:spacing w:line="240" w:lineRule="auto"/>
        <w:ind w:firstLine="640"/>
        <w:rPr>
          <w:rFonts w:hint="eastAsia" w:ascii="Times New Roman" w:hAnsi="Times New Roman" w:cstheme="minorBidi"/>
          <w:b w:val="0"/>
          <w:bCs w:val="0"/>
          <w:i w:val="0"/>
          <w:iCs w:val="0"/>
          <w:caps w:val="0"/>
          <w:color w:val="auto"/>
          <w:spacing w:val="0"/>
          <w:sz w:val="32"/>
          <w:szCs w:val="22"/>
          <w:highlight w:val="none"/>
          <w:lang w:val="en-US" w:eastAsia="zh-CN"/>
        </w:rPr>
      </w:pPr>
      <w:r>
        <w:rPr>
          <w:rFonts w:hint="eastAsia" w:ascii="Times New Roman" w:hAnsi="Times New Roman" w:cstheme="minorBidi"/>
          <w:b w:val="0"/>
          <w:bCs w:val="0"/>
          <w:i w:val="0"/>
          <w:iCs w:val="0"/>
          <w:caps w:val="0"/>
          <w:color w:val="auto"/>
          <w:spacing w:val="0"/>
          <w:sz w:val="32"/>
          <w:szCs w:val="22"/>
          <w:highlight w:val="none"/>
          <w:lang w:val="en-US" w:eastAsia="zh-CN"/>
        </w:rPr>
        <w:t>物流配送方面，建设和完善区镇村三级物流配送体系，全区首个村级电商驿站——东里镇头冲电商驿站建成，带动东里镇特色农产品“上云出海”，至2023年12月，销售额超4300万元。推动农村客货邮融合发展，建设货运站场3家，乡镇运输服务站2家，参与物流经营货运代理业务近百家，经营全国各地（含香港、澳门）道路货运线路80多条，推动我区农产品电商上行发展。</w:t>
      </w:r>
    </w:p>
    <w:p w14:paraId="371365CA">
      <w:pPr>
        <w:pStyle w:val="4"/>
        <w:rPr>
          <w:rFonts w:hint="eastAsia" w:ascii="Times New Roman" w:hAnsi="Times New Roman" w:cs="仿宋_GB2312"/>
          <w:b/>
          <w:bCs w:val="0"/>
          <w:color w:val="auto"/>
          <w:szCs w:val="32"/>
          <w:highlight w:val="none"/>
          <w:lang w:val="en-US" w:eastAsia="zh-CN"/>
        </w:rPr>
      </w:pPr>
      <w:r>
        <w:rPr>
          <w:rFonts w:hint="eastAsia" w:ascii="Times New Roman" w:hAnsi="Times New Roman" w:cs="仿宋_GB2312"/>
          <w:b/>
          <w:bCs w:val="0"/>
          <w:color w:val="auto"/>
          <w:szCs w:val="32"/>
          <w:highlight w:val="none"/>
          <w:lang w:val="en-US" w:eastAsia="zh-CN"/>
        </w:rPr>
        <w:t>3.自然资源条件</w:t>
      </w:r>
    </w:p>
    <w:p w14:paraId="737ACC99">
      <w:pPr>
        <w:pStyle w:val="5"/>
        <w:rPr>
          <w:rFonts w:hint="eastAsia" w:ascii="Times New Roman" w:hAnsi="Times New Roman" w:eastAsia="仿宋_GB2312" w:cstheme="minorBidi"/>
          <w:b w:val="0"/>
          <w:color w:val="auto"/>
          <w:sz w:val="32"/>
          <w:highlight w:val="none"/>
        </w:rPr>
      </w:pPr>
      <w:r>
        <w:rPr>
          <w:rFonts w:hint="default" w:ascii="Times New Roman" w:hAnsi="Times New Roman" w:cstheme="minorBidi"/>
          <w:b w:val="0"/>
          <w:color w:val="auto"/>
          <w:sz w:val="32"/>
          <w:highlight w:val="none"/>
          <w:lang w:eastAsia="zh-CN"/>
        </w:rPr>
        <w:t>（</w:t>
      </w:r>
      <w:r>
        <w:rPr>
          <w:rFonts w:hint="default" w:ascii="Times New Roman" w:hAnsi="Times New Roman" w:cstheme="minorBidi"/>
          <w:b w:val="0"/>
          <w:color w:val="auto"/>
          <w:sz w:val="32"/>
          <w:highlight w:val="none"/>
          <w:lang w:val="en-US" w:eastAsia="zh-CN"/>
        </w:rPr>
        <w:t>1</w:t>
      </w:r>
      <w:r>
        <w:rPr>
          <w:rFonts w:hint="default" w:ascii="Times New Roman" w:hAnsi="Times New Roman" w:cstheme="minorBidi"/>
          <w:b w:val="0"/>
          <w:color w:val="auto"/>
          <w:sz w:val="32"/>
          <w:highlight w:val="none"/>
          <w:lang w:eastAsia="zh-CN"/>
        </w:rPr>
        <w:t>）</w:t>
      </w:r>
      <w:r>
        <w:rPr>
          <w:rFonts w:hint="eastAsia" w:ascii="Times New Roman" w:hAnsi="Times New Roman" w:eastAsia="仿宋_GB2312" w:cstheme="minorBidi"/>
          <w:b w:val="0"/>
          <w:color w:val="auto"/>
          <w:sz w:val="32"/>
          <w:highlight w:val="none"/>
        </w:rPr>
        <w:t>地形地貌资源</w:t>
      </w:r>
    </w:p>
    <w:p w14:paraId="6D9C73D7">
      <w:pPr>
        <w:bidi w:val="0"/>
        <w:rPr>
          <w:rFonts w:hint="default" w:ascii="Times New Roman" w:hAnsi="Times New Roman"/>
          <w:color w:val="auto"/>
          <w:highlight w:val="none"/>
        </w:rPr>
      </w:pPr>
      <w:r>
        <w:rPr>
          <w:rFonts w:hint="default" w:ascii="Times New Roman" w:hAnsi="Times New Roman"/>
          <w:color w:val="auto"/>
          <w:highlight w:val="none"/>
        </w:rPr>
        <w:t>产业园地处韩江三角洲外缘，海拔在10米以下的平原占总面积81.9%；海拔10米以上的丘陵台地占8.5%；水域占9.6%，素有“一山一水八分地”之称。地势西北高而东南低。北部为莲花山区，占地25平方公里，主峰高562米，为全区最高峰。澄海濒临海洋，海岸线长54.3公里，属沙坝泻湖海岸，海堤长46.25公里。南部有大莱芜和小莱芜（俗称塔岗山）两座半岛及屐桃屿。南部有马礁、东锚礁、礁仔及南锚礁。满足狮头鹅养殖需选择地势高、平坦、地形开阔整齐、空气清新、有树木庇荫等地形要求。</w:t>
      </w:r>
    </w:p>
    <w:p w14:paraId="1D14A663">
      <w:pPr>
        <w:pStyle w:val="5"/>
        <w:rPr>
          <w:rFonts w:hint="eastAsia" w:ascii="Times New Roman" w:hAnsi="Times New Roman" w:eastAsia="仿宋_GB2312" w:cstheme="minorBidi"/>
          <w:b w:val="0"/>
          <w:color w:val="auto"/>
          <w:sz w:val="32"/>
          <w:highlight w:val="none"/>
        </w:rPr>
      </w:pPr>
      <w:r>
        <w:rPr>
          <w:rFonts w:hint="default" w:ascii="Times New Roman" w:hAnsi="Times New Roman" w:cstheme="minorBidi"/>
          <w:b w:val="0"/>
          <w:color w:val="auto"/>
          <w:sz w:val="32"/>
          <w:highlight w:val="none"/>
          <w:lang w:eastAsia="zh-CN"/>
        </w:rPr>
        <w:t>（</w:t>
      </w:r>
      <w:r>
        <w:rPr>
          <w:rFonts w:hint="default" w:ascii="Times New Roman" w:hAnsi="Times New Roman" w:cstheme="minorBidi"/>
          <w:b w:val="0"/>
          <w:color w:val="auto"/>
          <w:sz w:val="32"/>
          <w:highlight w:val="none"/>
          <w:lang w:val="en-US" w:eastAsia="zh-CN"/>
        </w:rPr>
        <w:t>2</w:t>
      </w:r>
      <w:r>
        <w:rPr>
          <w:rFonts w:hint="default" w:ascii="Times New Roman" w:hAnsi="Times New Roman" w:cstheme="minorBidi"/>
          <w:b w:val="0"/>
          <w:color w:val="auto"/>
          <w:sz w:val="32"/>
          <w:highlight w:val="none"/>
          <w:lang w:eastAsia="zh-CN"/>
        </w:rPr>
        <w:t>）</w:t>
      </w:r>
      <w:r>
        <w:rPr>
          <w:rFonts w:hint="eastAsia" w:ascii="Times New Roman" w:hAnsi="Times New Roman" w:eastAsia="仿宋_GB2312" w:cstheme="minorBidi"/>
          <w:b w:val="0"/>
          <w:color w:val="auto"/>
          <w:sz w:val="32"/>
          <w:highlight w:val="none"/>
        </w:rPr>
        <w:t>气候资源</w:t>
      </w:r>
    </w:p>
    <w:p w14:paraId="7393B381">
      <w:pPr>
        <w:bidi w:val="0"/>
        <w:rPr>
          <w:rFonts w:hint="default" w:ascii="Times New Roman" w:hAnsi="Times New Roman"/>
          <w:color w:val="auto"/>
          <w:highlight w:val="none"/>
        </w:rPr>
      </w:pPr>
      <w:r>
        <w:rPr>
          <w:rFonts w:hint="default" w:ascii="Times New Roman" w:hAnsi="Times New Roman"/>
          <w:color w:val="auto"/>
          <w:highlight w:val="none"/>
        </w:rPr>
        <w:t>产业园属南亚热带季风气候，阳光充足，雨量充沛。冬半年受极地冷高压控制，盛行东北季风，天气较为干冷。夏半年受副热带高压和热带气旋的影响，盛行西南和东南季风，天气高温多雨，呈现雨热同季的特点。四季变化趋于缓和：春季气温回升早，夏季漫长，秋季降温比较迟，冬季温和。年平均气温21.2～21.7℃，7月最热，1月最冷。年日照时数为1798～2623小时，平均2176小时。日照时数最多的是7月，高值时段在7～10月；日照时数最少是2～4月份。1979～2002年平均降雨量为1506毫米，降雨多集中在4～9月，降雨量占全年的81％。冬季温暖干燥的气候条件为狮头鹅养殖提供天然的地理气候优势。</w:t>
      </w:r>
    </w:p>
    <w:p w14:paraId="39CDA5E8">
      <w:pPr>
        <w:pStyle w:val="5"/>
        <w:rPr>
          <w:rFonts w:hint="eastAsia" w:ascii="Times New Roman" w:hAnsi="Times New Roman" w:eastAsia="仿宋_GB2312" w:cstheme="minorBidi"/>
          <w:b w:val="0"/>
          <w:color w:val="auto"/>
          <w:sz w:val="32"/>
          <w:highlight w:val="none"/>
        </w:rPr>
      </w:pPr>
      <w:r>
        <w:rPr>
          <w:rFonts w:hint="default" w:ascii="Times New Roman" w:hAnsi="Times New Roman" w:cstheme="minorBidi"/>
          <w:b w:val="0"/>
          <w:color w:val="auto"/>
          <w:sz w:val="32"/>
          <w:highlight w:val="none"/>
          <w:lang w:eastAsia="zh-CN"/>
        </w:rPr>
        <w:t>（</w:t>
      </w:r>
      <w:r>
        <w:rPr>
          <w:rFonts w:hint="default" w:ascii="Times New Roman" w:hAnsi="Times New Roman" w:cstheme="minorBidi"/>
          <w:b w:val="0"/>
          <w:color w:val="auto"/>
          <w:sz w:val="32"/>
          <w:highlight w:val="none"/>
          <w:lang w:val="en-US" w:eastAsia="zh-CN"/>
        </w:rPr>
        <w:t>3</w:t>
      </w:r>
      <w:r>
        <w:rPr>
          <w:rFonts w:hint="default" w:ascii="Times New Roman" w:hAnsi="Times New Roman" w:cstheme="minorBidi"/>
          <w:b w:val="0"/>
          <w:color w:val="auto"/>
          <w:sz w:val="32"/>
          <w:highlight w:val="none"/>
          <w:lang w:eastAsia="zh-CN"/>
        </w:rPr>
        <w:t>）</w:t>
      </w:r>
      <w:r>
        <w:rPr>
          <w:rFonts w:hint="eastAsia" w:ascii="Times New Roman" w:hAnsi="Times New Roman" w:eastAsia="仿宋_GB2312" w:cstheme="minorBidi"/>
          <w:b w:val="0"/>
          <w:color w:val="auto"/>
          <w:sz w:val="32"/>
          <w:highlight w:val="none"/>
        </w:rPr>
        <w:t>旅游资源</w:t>
      </w:r>
    </w:p>
    <w:p w14:paraId="3F808D1E">
      <w:pPr>
        <w:bidi w:val="0"/>
        <w:rPr>
          <w:rFonts w:hint="eastAsia" w:ascii="Times New Roman" w:hAnsi="Times New Roman"/>
          <w:b w:val="0"/>
          <w:bCs w:val="0"/>
          <w:color w:val="auto"/>
          <w:highlight w:val="none"/>
          <w:lang w:eastAsia="zh-CN"/>
        </w:rPr>
      </w:pPr>
      <w:r>
        <w:rPr>
          <w:rFonts w:hint="eastAsia" w:ascii="Times New Roman" w:hAnsi="Times New Roman"/>
          <w:b w:val="0"/>
          <w:bCs w:val="0"/>
          <w:color w:val="auto"/>
          <w:highlight w:val="none"/>
          <w:lang w:val="en-US" w:eastAsia="zh-CN"/>
        </w:rPr>
        <w:t>澄海区为广东著名侨乡之一，是“海上丝绸之路”的始发港，是红头船的故乡。</w:t>
      </w:r>
      <w:r>
        <w:rPr>
          <w:rFonts w:hint="default" w:ascii="Times New Roman" w:hAnsi="Times New Roman"/>
          <w:b w:val="0"/>
          <w:bCs w:val="0"/>
          <w:color w:val="auto"/>
          <w:highlight w:val="none"/>
        </w:rPr>
        <w:t>樟林古港作为红头船的启航圣地，是海外侨胞心中的“精神家园”和寻根基地</w:t>
      </w:r>
      <w:r>
        <w:rPr>
          <w:rFonts w:hint="eastAsia" w:ascii="Times New Roman" w:hAnsi="Times New Roman"/>
          <w:b w:val="0"/>
          <w:bCs w:val="0"/>
          <w:color w:val="auto"/>
          <w:highlight w:val="none"/>
          <w:lang w:eastAsia="zh-CN"/>
        </w:rPr>
        <w:t>，</w:t>
      </w:r>
      <w:r>
        <w:rPr>
          <w:rFonts w:hint="eastAsia" w:ascii="Times New Roman" w:hAnsi="Times New Roman"/>
          <w:b w:val="0"/>
          <w:bCs w:val="0"/>
          <w:color w:val="auto"/>
          <w:highlight w:val="none"/>
          <w:lang w:val="en-US" w:eastAsia="zh-CN"/>
        </w:rPr>
        <w:t>2017年被评为“广东十大海上丝绸之路文化地理坐标”</w:t>
      </w:r>
      <w:r>
        <w:rPr>
          <w:rFonts w:hint="default" w:ascii="Times New Roman" w:hAnsi="Times New Roman"/>
          <w:b w:val="0"/>
          <w:bCs w:val="0"/>
          <w:color w:val="auto"/>
          <w:highlight w:val="none"/>
        </w:rPr>
        <w:t>。</w:t>
      </w:r>
      <w:r>
        <w:rPr>
          <w:rFonts w:hint="default" w:ascii="Times New Roman" w:hAnsi="Times New Roman"/>
          <w:color w:val="auto"/>
          <w:highlight w:val="none"/>
        </w:rPr>
        <w:t>冠山书院是我国现存的明代及明代以前四大书院之一，也是澄海历史上的首家书院，已成为澄海侨乡的文化名片。陈慈黉故居被誉为“岭南第一侨宅”，更有“半个故宫”之誉，是潮汕乃至全国少有的珍稀历史遗存，是潮汕华侨文化的一个缩影。千年古港程洋冈被广东华侨博物馆专家学者确认是粤东最古老的港口。泰国著名民族英雄、泰国第三代王朝的创始者郑信的衣冠墓，位于郑王故里广益街道华富社区。郑王墓是澄海侨乡精英辈出的见证，也是中泰友好关系的见证</w:t>
      </w:r>
      <w:r>
        <w:rPr>
          <w:rFonts w:hint="eastAsia" w:ascii="Times New Roman" w:hAnsi="Times New Roman"/>
          <w:b w:val="0"/>
          <w:bCs w:val="0"/>
          <w:color w:val="auto"/>
          <w:highlight w:val="none"/>
          <w:lang w:eastAsia="zh-CN"/>
        </w:rPr>
        <w:t>。</w:t>
      </w:r>
      <w:r>
        <w:rPr>
          <w:rFonts w:hint="eastAsia" w:ascii="Times New Roman" w:hAnsi="Times New Roman"/>
          <w:b w:val="0"/>
          <w:bCs w:val="0"/>
          <w:color w:val="auto"/>
          <w:highlight w:val="none"/>
          <w:lang w:val="en-US" w:eastAsia="zh-CN"/>
        </w:rPr>
        <w:t>依托现有遍布世界100多个国家和地区的500多万海外华侨、华人和港澳台同胞资源优势，紧抓RCEP及狮头鹅出口零突破的有利契机，以侨为桥，全面带动狮头鹅出口创汇，实现全球有潮水的地方就有潮人，有潮人的地方就有澄海狮头鹅的远大愿景。</w:t>
      </w:r>
    </w:p>
    <w:p w14:paraId="2D4DB7AA">
      <w:pPr>
        <w:pStyle w:val="5"/>
        <w:rPr>
          <w:rFonts w:hint="eastAsia" w:ascii="Times New Roman" w:hAnsi="Times New Roman" w:eastAsia="仿宋_GB2312" w:cstheme="minorBidi"/>
          <w:b w:val="0"/>
          <w:color w:val="auto"/>
          <w:sz w:val="32"/>
          <w:highlight w:val="none"/>
        </w:rPr>
      </w:pPr>
      <w:r>
        <w:rPr>
          <w:rFonts w:hint="default" w:ascii="Times New Roman" w:hAnsi="Times New Roman" w:cstheme="minorBidi"/>
          <w:b w:val="0"/>
          <w:color w:val="auto"/>
          <w:sz w:val="32"/>
          <w:highlight w:val="none"/>
          <w:lang w:eastAsia="zh-CN"/>
        </w:rPr>
        <w:t>（</w:t>
      </w:r>
      <w:r>
        <w:rPr>
          <w:rFonts w:hint="default" w:ascii="Times New Roman" w:hAnsi="Times New Roman" w:cstheme="minorBidi"/>
          <w:b w:val="0"/>
          <w:color w:val="auto"/>
          <w:sz w:val="32"/>
          <w:highlight w:val="none"/>
          <w:lang w:val="en-US" w:eastAsia="zh-CN"/>
        </w:rPr>
        <w:t>4</w:t>
      </w:r>
      <w:r>
        <w:rPr>
          <w:rFonts w:hint="default" w:ascii="Times New Roman" w:hAnsi="Times New Roman" w:cstheme="minorBidi"/>
          <w:b w:val="0"/>
          <w:color w:val="auto"/>
          <w:sz w:val="32"/>
          <w:highlight w:val="none"/>
          <w:lang w:eastAsia="zh-CN"/>
        </w:rPr>
        <w:t>）</w:t>
      </w:r>
      <w:r>
        <w:rPr>
          <w:rFonts w:hint="eastAsia" w:ascii="Times New Roman" w:hAnsi="Times New Roman" w:eastAsia="仿宋_GB2312" w:cstheme="minorBidi"/>
          <w:b w:val="0"/>
          <w:color w:val="auto"/>
          <w:sz w:val="32"/>
          <w:highlight w:val="none"/>
        </w:rPr>
        <w:t>水资源条件</w:t>
      </w:r>
    </w:p>
    <w:p w14:paraId="191CB1BC">
      <w:pPr>
        <w:bidi w:val="0"/>
        <w:rPr>
          <w:rFonts w:hint="default" w:ascii="Times New Roman" w:hAnsi="Times New Roman"/>
          <w:color w:val="auto"/>
          <w:highlight w:val="none"/>
        </w:rPr>
      </w:pPr>
      <w:r>
        <w:rPr>
          <w:rFonts w:hint="default" w:ascii="Times New Roman" w:hAnsi="Times New Roman"/>
          <w:color w:val="auto"/>
          <w:highlight w:val="none"/>
        </w:rPr>
        <w:t>澄海区水资源十分丰富，水质常年达到二类标准，全广东省第二大流域—韩江</w:t>
      </w:r>
      <w:r>
        <w:rPr>
          <w:rFonts w:hint="eastAsia" w:ascii="Times New Roman" w:hAnsi="Times New Roman"/>
          <w:color w:val="auto"/>
          <w:highlight w:val="none"/>
          <w:lang w:val="en-US" w:eastAsia="zh-CN"/>
        </w:rPr>
        <w:t>流</w:t>
      </w:r>
      <w:r>
        <w:rPr>
          <w:rFonts w:hint="default" w:ascii="Times New Roman" w:hAnsi="Times New Roman"/>
          <w:color w:val="auto"/>
          <w:highlight w:val="none"/>
        </w:rPr>
        <w:t>经澄海，水域</w:t>
      </w:r>
      <w:r>
        <w:rPr>
          <w:rFonts w:hint="eastAsia" w:ascii="Times New Roman" w:hAnsi="Times New Roman"/>
          <w:color w:val="auto"/>
          <w:highlight w:val="none"/>
          <w:lang w:val="en-US" w:eastAsia="zh-CN"/>
        </w:rPr>
        <w:t>清澈，</w:t>
      </w:r>
      <w:r>
        <w:rPr>
          <w:rFonts w:hint="default" w:ascii="Times New Roman" w:hAnsi="Times New Roman"/>
          <w:color w:val="auto"/>
          <w:highlight w:val="none"/>
        </w:rPr>
        <w:t>可见度达2米。因众多河溪支流从澄海区域经过，澄海的水网交错，溪流、沟渠、池塘众多，为狮头鹅的饲养提供了良好的水资源。澄海处于亚热带（北回归线横贯区中），气候温和，雨水多，青草丰茂，澄海</w:t>
      </w:r>
      <w:r>
        <w:rPr>
          <w:rFonts w:hint="eastAsia" w:ascii="Times New Roman" w:hAnsi="Times New Roman"/>
          <w:color w:val="auto"/>
          <w:highlight w:val="none"/>
          <w:lang w:eastAsia="zh-CN"/>
        </w:rPr>
        <w:t>20世纪</w:t>
      </w:r>
      <w:r>
        <w:rPr>
          <w:rFonts w:hint="default" w:ascii="Times New Roman" w:hAnsi="Times New Roman"/>
          <w:color w:val="auto"/>
          <w:highlight w:val="none"/>
        </w:rPr>
        <w:t>80年代就是吨谷县，水稻、蔬菜产量高，大量的稻谷、菜叶、青草为狮头鹅提供了饲料保障。充足优质的淡水资源和丰富健康的</w:t>
      </w:r>
      <w:r>
        <w:rPr>
          <w:rFonts w:hint="eastAsia" w:ascii="Times New Roman" w:hAnsi="Times New Roman"/>
          <w:color w:val="auto"/>
          <w:highlight w:val="none"/>
          <w:lang w:val="en-US" w:eastAsia="zh-CN"/>
        </w:rPr>
        <w:t>青草</w:t>
      </w:r>
      <w:r>
        <w:rPr>
          <w:rFonts w:hint="default" w:ascii="Times New Roman" w:hAnsi="Times New Roman"/>
          <w:color w:val="auto"/>
          <w:highlight w:val="none"/>
        </w:rPr>
        <w:t>饲料来源为狮头鹅养殖提供了良好的自然条件。</w:t>
      </w:r>
    </w:p>
    <w:p w14:paraId="40D27DD7">
      <w:pPr>
        <w:bidi w:val="0"/>
        <w:rPr>
          <w:rFonts w:hint="default" w:ascii="Times New Roman" w:hAnsi="Times New Roman"/>
          <w:b w:val="0"/>
          <w:bCs w:val="0"/>
          <w:color w:val="auto"/>
          <w:highlight w:val="none"/>
        </w:rPr>
      </w:pPr>
      <w:r>
        <w:rPr>
          <w:rFonts w:hint="default" w:ascii="Times New Roman" w:hAnsi="Times New Roman"/>
          <w:b w:val="0"/>
          <w:bCs w:val="0"/>
          <w:color w:val="auto"/>
          <w:highlight w:val="none"/>
        </w:rPr>
        <w:t>澄海区良好的气候资源、地形地貌资源和水资源对水禽养殖等现代农业特别是狮头鹅发展有得天独厚的自然优势。</w:t>
      </w:r>
    </w:p>
    <w:p w14:paraId="0813D4B7">
      <w:pPr>
        <w:pStyle w:val="4"/>
        <w:bidi w:val="0"/>
        <w:rPr>
          <w:rFonts w:hint="eastAsia" w:ascii="Times New Roman" w:hAnsi="Times New Roman" w:cs="仿宋_GB2312"/>
          <w:color w:val="auto"/>
          <w:szCs w:val="32"/>
          <w:highlight w:val="none"/>
          <w:lang w:val="en-US" w:eastAsia="zh-CN"/>
        </w:rPr>
      </w:pPr>
      <w:r>
        <w:rPr>
          <w:rFonts w:hint="eastAsia" w:ascii="Times New Roman" w:hAnsi="Times New Roman" w:cs="仿宋_GB2312"/>
          <w:color w:val="auto"/>
          <w:szCs w:val="32"/>
          <w:highlight w:val="none"/>
          <w:lang w:val="en-US" w:eastAsia="zh-CN"/>
        </w:rPr>
        <w:t>4.经济社会条件</w:t>
      </w:r>
    </w:p>
    <w:p w14:paraId="1E1589F4">
      <w:pPr>
        <w:bidi w:val="0"/>
        <w:rPr>
          <w:rFonts w:hint="default" w:ascii="Times New Roman" w:hAnsi="Times New Roman"/>
          <w:color w:val="auto"/>
          <w:highlight w:val="none"/>
        </w:rPr>
      </w:pPr>
      <w:r>
        <w:rPr>
          <w:rFonts w:hint="default" w:ascii="Times New Roman" w:hAnsi="Times New Roman"/>
          <w:color w:val="auto"/>
          <w:highlight w:val="none"/>
        </w:rPr>
        <w:t>澄海区统筹推进“五位一体”总体布局，协调推进“四个全面”战略布局，抓重点、补短板、强弱项，推动全区各项事业取得新进展。全区经济持续健康发展，社会大局平安稳定，人民生活水平稳步提高，澄海全面振兴发展迈出坚实步伐。</w:t>
      </w:r>
      <w:r>
        <w:rPr>
          <w:rFonts w:hint="eastAsia" w:ascii="Times New Roman" w:hAnsi="Times New Roman"/>
          <w:color w:val="auto"/>
          <w:highlight w:val="none"/>
          <w:lang w:val="en-US" w:eastAsia="zh-CN"/>
        </w:rPr>
        <w:t>2022年，全区地区生产总值为513.28亿元，比增3.5%。其中，第一产业增加值46.78亿元，比增4.8%；第二产业增加值271.02亿元，比增5.8%；第三产业增加值195.48亿元，比增0.1%。三次产业比重为9.1:52.8:38.1。固定资产投资总额137.31亿元，社会消费品零售总额179.44亿元，一般公共预算收入16.16亿元，全区金融机构人民币存款余额782.50亿元，贷款余额354.55亿元。</w:t>
      </w:r>
      <w:r>
        <w:rPr>
          <w:rFonts w:hint="default" w:ascii="Times New Roman" w:hAnsi="Times New Roman"/>
          <w:color w:val="auto"/>
          <w:highlight w:val="none"/>
        </w:rPr>
        <w:t>澄海区各项经济指标</w:t>
      </w:r>
      <w:r>
        <w:rPr>
          <w:rFonts w:hint="eastAsia" w:ascii="Times New Roman" w:hAnsi="Times New Roman"/>
          <w:color w:val="auto"/>
          <w:highlight w:val="none"/>
          <w:lang w:val="en-US" w:eastAsia="zh-CN"/>
        </w:rPr>
        <w:t>稳中有进</w:t>
      </w:r>
      <w:r>
        <w:rPr>
          <w:rFonts w:hint="default" w:ascii="Times New Roman" w:hAnsi="Times New Roman"/>
          <w:color w:val="auto"/>
          <w:highlight w:val="none"/>
        </w:rPr>
        <w:t>，社会经济持续健康发展，为产业园的建设和发展打下了良好的经济基础。</w:t>
      </w:r>
    </w:p>
    <w:p w14:paraId="027D578B">
      <w:pPr>
        <w:pStyle w:val="4"/>
        <w:rPr>
          <w:rFonts w:hint="eastAsia" w:ascii="Times New Roman" w:hAnsi="Times New Roman" w:cs="仿宋_GB2312"/>
          <w:b/>
          <w:bCs w:val="0"/>
          <w:color w:val="auto"/>
          <w:szCs w:val="32"/>
          <w:highlight w:val="none"/>
          <w:lang w:val="en-US" w:eastAsia="zh-CN"/>
        </w:rPr>
      </w:pPr>
      <w:r>
        <w:rPr>
          <w:rFonts w:hint="eastAsia" w:ascii="Times New Roman" w:hAnsi="Times New Roman" w:cs="仿宋_GB2312"/>
          <w:b/>
          <w:bCs w:val="0"/>
          <w:color w:val="auto"/>
          <w:szCs w:val="32"/>
          <w:highlight w:val="none"/>
          <w:lang w:val="en-US" w:eastAsia="zh-CN"/>
        </w:rPr>
        <w:t>5.农业农村概况</w:t>
      </w:r>
    </w:p>
    <w:p w14:paraId="2C99E834">
      <w:pPr>
        <w:bidi w:val="0"/>
        <w:rPr>
          <w:rFonts w:hint="default" w:ascii="Times New Roman" w:hAnsi="Times New Roman"/>
          <w:color w:val="auto"/>
          <w:highlight w:val="none"/>
        </w:rPr>
      </w:pPr>
      <w:r>
        <w:rPr>
          <w:rFonts w:hint="default" w:ascii="Times New Roman" w:hAnsi="Times New Roman"/>
          <w:color w:val="auto"/>
          <w:highlight w:val="none"/>
        </w:rPr>
        <w:t>澄海农业基础扎实，素以精耕细作著称，有“种田如绣花”美誉，土地创值率高，是著名的农业高产地区。</w:t>
      </w:r>
      <w:r>
        <w:rPr>
          <w:rFonts w:hint="eastAsia" w:ascii="Times New Roman" w:hAnsi="Times New Roman"/>
          <w:color w:val="auto"/>
          <w:highlight w:val="none"/>
          <w:lang w:val="en-US" w:eastAsia="zh-CN"/>
        </w:rPr>
        <w:t>2022年，完成农林牧渔业总产值90.20亿元，比增5.5%。其中，蔬菜产值比增3.5%、家禽产值比增16.9%、农林牧渔专业及辅助性活动产值比增10.7%。被评为</w:t>
      </w:r>
      <w:r>
        <w:rPr>
          <w:rFonts w:hint="default" w:ascii="Times New Roman" w:hAnsi="Times New Roman"/>
          <w:color w:val="auto"/>
          <w:highlight w:val="none"/>
        </w:rPr>
        <w:t>广东省蔬菜生产先进县</w:t>
      </w:r>
      <w:r>
        <w:rPr>
          <w:rFonts w:hint="eastAsia" w:ascii="Times New Roman" w:hAnsi="Times New Roman"/>
          <w:color w:val="auto"/>
          <w:highlight w:val="none"/>
          <w:lang w:eastAsia="zh-CN"/>
        </w:rPr>
        <w:t>、</w:t>
      </w:r>
      <w:r>
        <w:rPr>
          <w:rFonts w:hint="default" w:ascii="Times New Roman" w:hAnsi="Times New Roman"/>
          <w:color w:val="auto"/>
          <w:highlight w:val="none"/>
        </w:rPr>
        <w:t>省级现代农业示范区</w:t>
      </w:r>
      <w:r>
        <w:rPr>
          <w:rFonts w:hint="eastAsia" w:ascii="Times New Roman" w:hAnsi="Times New Roman"/>
          <w:color w:val="auto"/>
          <w:highlight w:val="none"/>
          <w:lang w:eastAsia="zh-CN"/>
        </w:rPr>
        <w:t>、</w:t>
      </w:r>
      <w:r>
        <w:rPr>
          <w:rFonts w:hint="default" w:ascii="Times New Roman" w:hAnsi="Times New Roman"/>
          <w:color w:val="auto"/>
          <w:highlight w:val="none"/>
        </w:rPr>
        <w:t>国家现代农业示范区</w:t>
      </w:r>
      <w:r>
        <w:rPr>
          <w:rFonts w:hint="eastAsia" w:ascii="Times New Roman" w:hAnsi="Times New Roman"/>
          <w:color w:val="auto"/>
          <w:highlight w:val="none"/>
          <w:lang w:eastAsia="zh-CN"/>
        </w:rPr>
        <w:t>、</w:t>
      </w:r>
      <w:r>
        <w:rPr>
          <w:rFonts w:hint="default" w:ascii="Times New Roman" w:hAnsi="Times New Roman"/>
          <w:color w:val="auto"/>
          <w:highlight w:val="none"/>
        </w:rPr>
        <w:t>国家农村集体产权制度改革试点县</w:t>
      </w:r>
      <w:r>
        <w:rPr>
          <w:rFonts w:hint="eastAsia" w:ascii="Times New Roman" w:hAnsi="Times New Roman"/>
          <w:color w:val="auto"/>
          <w:highlight w:val="none"/>
          <w:lang w:eastAsia="zh-CN"/>
        </w:rPr>
        <w:t>、</w:t>
      </w:r>
      <w:r>
        <w:rPr>
          <w:rFonts w:hint="default" w:ascii="Times New Roman" w:hAnsi="Times New Roman"/>
          <w:color w:val="auto"/>
          <w:highlight w:val="none"/>
        </w:rPr>
        <w:t>国家农村一二三产业融合发展试点县</w:t>
      </w:r>
      <w:r>
        <w:rPr>
          <w:rFonts w:hint="eastAsia" w:ascii="Times New Roman" w:hAnsi="Times New Roman"/>
          <w:color w:val="auto"/>
          <w:highlight w:val="none"/>
          <w:lang w:eastAsia="zh-CN"/>
        </w:rPr>
        <w:t>。</w:t>
      </w:r>
      <w:r>
        <w:rPr>
          <w:rFonts w:hint="default" w:ascii="Times New Roman" w:hAnsi="Times New Roman"/>
          <w:color w:val="auto"/>
          <w:highlight w:val="none"/>
        </w:rPr>
        <w:t>目前，澄海农业已基本形成主导产业突出（水稻、畜禽、蔬菜、水果、水产、新兴花卉）、发展布局合理（特色农业、效益农业、现代农业、精品农业）、服务配套到位（冷链、物流、加工、电商）的现代农业体系，为全面推进实施乡村振兴战略奠定良好基础。</w:t>
      </w:r>
    </w:p>
    <w:p w14:paraId="606288B0">
      <w:pPr>
        <w:pStyle w:val="5"/>
        <w:rPr>
          <w:rFonts w:hint="default" w:ascii="Times New Roman" w:hAnsi="Times New Roman" w:cstheme="minorBidi"/>
          <w:b w:val="0"/>
          <w:color w:val="auto"/>
          <w:sz w:val="32"/>
          <w:highlight w:val="none"/>
          <w:lang w:eastAsia="zh-CN"/>
        </w:rPr>
      </w:pPr>
      <w:r>
        <w:rPr>
          <w:rFonts w:hint="default" w:ascii="Times New Roman" w:hAnsi="Times New Roman" w:cstheme="minorBidi"/>
          <w:b w:val="0"/>
          <w:color w:val="auto"/>
          <w:sz w:val="32"/>
          <w:highlight w:val="none"/>
          <w:lang w:eastAsia="zh-CN"/>
        </w:rPr>
        <w:t>（</w:t>
      </w:r>
      <w:r>
        <w:rPr>
          <w:rFonts w:hint="default" w:ascii="Times New Roman" w:hAnsi="Times New Roman" w:cstheme="minorBidi"/>
          <w:b w:val="0"/>
          <w:color w:val="auto"/>
          <w:sz w:val="32"/>
          <w:highlight w:val="none"/>
          <w:lang w:val="en-US" w:eastAsia="zh-CN"/>
        </w:rPr>
        <w:t>1</w:t>
      </w:r>
      <w:r>
        <w:rPr>
          <w:rFonts w:hint="default" w:ascii="Times New Roman" w:hAnsi="Times New Roman" w:cstheme="minorBidi"/>
          <w:b w:val="0"/>
          <w:color w:val="auto"/>
          <w:sz w:val="32"/>
          <w:highlight w:val="none"/>
          <w:lang w:eastAsia="zh-CN"/>
        </w:rPr>
        <w:t>）农业基础条件优越</w:t>
      </w:r>
    </w:p>
    <w:p w14:paraId="257A0136">
      <w:pPr>
        <w:bidi w:val="0"/>
        <w:rPr>
          <w:rFonts w:hint="default" w:ascii="Times New Roman" w:hAnsi="Times New Roman"/>
          <w:color w:val="auto"/>
          <w:highlight w:val="none"/>
        </w:rPr>
      </w:pPr>
      <w:r>
        <w:rPr>
          <w:rFonts w:hint="default" w:ascii="Times New Roman" w:hAnsi="Times New Roman"/>
          <w:color w:val="auto"/>
          <w:highlight w:val="none"/>
        </w:rPr>
        <w:t>澄海的农田水利建设全省首屈一指</w:t>
      </w:r>
      <w:r>
        <w:rPr>
          <w:rFonts w:hint="eastAsia" w:ascii="Times New Roman" w:hAnsi="Times New Roman"/>
          <w:color w:val="auto"/>
          <w:highlight w:val="none"/>
          <w:lang w:eastAsia="zh-CN"/>
        </w:rPr>
        <w:t>。</w:t>
      </w:r>
      <w:r>
        <w:rPr>
          <w:rFonts w:hint="eastAsia" w:ascii="Times New Roman" w:hAnsi="Times New Roman"/>
          <w:b w:val="0"/>
          <w:bCs w:val="0"/>
          <w:color w:val="auto"/>
          <w:highlight w:val="none"/>
          <w:lang w:val="en-US" w:eastAsia="zh-CN"/>
        </w:rPr>
        <w:t>全区已建成高标准农田面积10.5991万亩，圆满完成高标准农田建设任务。</w:t>
      </w:r>
      <w:r>
        <w:rPr>
          <w:rFonts w:hint="default" w:ascii="Times New Roman" w:hAnsi="Times New Roman"/>
          <w:color w:val="auto"/>
          <w:highlight w:val="none"/>
        </w:rPr>
        <w:t>2020年度高标准农田建设项目耕地质量评价等级为2.35个等级，比建设前提高了0.35个等级，耕地质量得到提升。印发《汕头市澄海区2021年垦造水田项目后期地力培肥计划》，协助完成2020年省级3000亩垦造水田任务。完成国家农业综合开发，省、市高标准农田等建设项目，形成了“五大联围”和“六大灌区”良好格局，极大地改善了农田水利排灌和农业生产交通条件，全区有效灌溉率95%以上，全部农田灌溉、排涝、防洪、防潮标准高于全国和广东省的规定。提供农业保险补贴，减轻农户发展压力。澄海区水稻政策性保险投保面积26872亩，区财政承担保费29.5591万元；岭南特色水果及大棚保险共2466亩，区财政承担保费15.34905万元。</w:t>
      </w:r>
    </w:p>
    <w:p w14:paraId="649C0629">
      <w:pPr>
        <w:pStyle w:val="5"/>
        <w:rPr>
          <w:rFonts w:hint="default" w:ascii="Times New Roman" w:hAnsi="Times New Roman" w:cstheme="minorBidi"/>
          <w:b w:val="0"/>
          <w:color w:val="auto"/>
          <w:sz w:val="32"/>
          <w:highlight w:val="none"/>
          <w:lang w:eastAsia="zh-CN"/>
        </w:rPr>
      </w:pPr>
      <w:r>
        <w:rPr>
          <w:rFonts w:hint="default" w:ascii="Times New Roman" w:hAnsi="Times New Roman" w:cstheme="minorBidi"/>
          <w:b w:val="0"/>
          <w:color w:val="auto"/>
          <w:sz w:val="32"/>
          <w:highlight w:val="none"/>
          <w:lang w:eastAsia="zh-CN"/>
        </w:rPr>
        <w:t>（</w:t>
      </w:r>
      <w:r>
        <w:rPr>
          <w:rFonts w:hint="default" w:ascii="Times New Roman" w:hAnsi="Times New Roman" w:cstheme="minorBidi"/>
          <w:b w:val="0"/>
          <w:color w:val="auto"/>
          <w:sz w:val="32"/>
          <w:highlight w:val="none"/>
          <w:lang w:val="en-US" w:eastAsia="zh-CN"/>
        </w:rPr>
        <w:t>2</w:t>
      </w:r>
      <w:r>
        <w:rPr>
          <w:rFonts w:hint="default" w:ascii="Times New Roman" w:hAnsi="Times New Roman" w:cstheme="minorBidi"/>
          <w:b w:val="0"/>
          <w:color w:val="auto"/>
          <w:sz w:val="32"/>
          <w:highlight w:val="none"/>
          <w:lang w:eastAsia="zh-CN"/>
        </w:rPr>
        <w:t>）特色农业优势突出</w:t>
      </w:r>
    </w:p>
    <w:p w14:paraId="0F2C1AA0">
      <w:pPr>
        <w:bidi w:val="0"/>
        <w:rPr>
          <w:rFonts w:hint="default" w:ascii="Times New Roman" w:hAnsi="Times New Roman"/>
          <w:color w:val="auto"/>
          <w:highlight w:val="none"/>
        </w:rPr>
      </w:pPr>
      <w:r>
        <w:rPr>
          <w:rFonts w:hint="default" w:ascii="Times New Roman" w:hAnsi="Times New Roman"/>
          <w:color w:val="auto"/>
          <w:highlight w:val="none"/>
        </w:rPr>
        <w:t>澄海区是全省乃至全国重要的特色农产品优势生产区域，近年来在努力推进粮食专业化生产的同时，突出发展无公害蔬菜、优稀水果、</w:t>
      </w:r>
      <w:r>
        <w:rPr>
          <w:rFonts w:hint="default" w:ascii="Times New Roman" w:hAnsi="Times New Roman"/>
          <w:b w:val="0"/>
          <w:bCs w:val="0"/>
          <w:color w:val="auto"/>
          <w:highlight w:val="none"/>
        </w:rPr>
        <w:t>特色禽畜，</w:t>
      </w:r>
      <w:r>
        <w:rPr>
          <w:rFonts w:hint="default" w:ascii="Times New Roman" w:hAnsi="Times New Roman"/>
          <w:color w:val="auto"/>
          <w:highlight w:val="none"/>
        </w:rPr>
        <w:t>以及国兰花卉等特色效益农业产业。</w:t>
      </w:r>
      <w:r>
        <w:rPr>
          <w:rFonts w:hint="eastAsia" w:ascii="Times New Roman" w:hAnsi="Times New Roman"/>
          <w:color w:val="auto"/>
          <w:highlight w:val="none"/>
          <w:lang w:val="en-US" w:eastAsia="zh-CN"/>
        </w:rPr>
        <w:t>拥有万亩优质水稻，万亩无公害蔬菜、万亩名优水果生产、万亩水产养殖基地，获批建设蔬菜省级现代农业产业园、狮头鹅省级现代农业产业园，建成特色农业产业园区3个、无公害农产品生产基地11个，拥有澄海狮头鹅、</w:t>
      </w:r>
      <w:r>
        <w:rPr>
          <w:rFonts w:hint="default" w:ascii="Times New Roman" w:hAnsi="Times New Roman"/>
          <w:color w:val="auto"/>
          <w:highlight w:val="none"/>
        </w:rPr>
        <w:t>樟林林檎、碧砂食用菌、董坑草莓、上华珍珠番茄、建阳芥兰、远东国兰、隆都青柠檬、溪南火龙果等一批农业优稀拳头产品，培育出“广东源信”“广东绿源”“利农种业”“心瓷科技”“物只卤鹅”“澄海莲花”“佳盛紫菜”等一批广东省农业著名商标，以及“狮头鹅”“源信108渔饲料”“新寮水磨糯米粉”等“粤字号”产品。澄海苦瓜、</w:t>
      </w:r>
      <w:r>
        <w:rPr>
          <w:rFonts w:hint="default" w:ascii="Times New Roman" w:hAnsi="Times New Roman"/>
          <w:b w:val="0"/>
          <w:bCs w:val="0"/>
          <w:color w:val="auto"/>
          <w:highlight w:val="none"/>
        </w:rPr>
        <w:t>狮头鹅被列入第三届广东名特优新农产品名录。狮头鹅被列入2021年全国名特优新农产品名录。莲下镇建阳村（丝苗米）等24个村的24项特色农业列入省级“一村一品、一镇一业”专业村</w:t>
      </w:r>
      <w:r>
        <w:rPr>
          <w:rFonts w:hint="eastAsia" w:ascii="Times New Roman" w:hAnsi="Times New Roman"/>
          <w:b w:val="0"/>
          <w:bCs w:val="0"/>
          <w:color w:val="auto"/>
          <w:highlight w:val="none"/>
          <w:lang w:eastAsia="zh-CN"/>
        </w:rPr>
        <w:t>，溪南镇入选国家农业产业强镇建设名单</w:t>
      </w:r>
      <w:r>
        <w:rPr>
          <w:rFonts w:hint="default" w:ascii="Times New Roman" w:hAnsi="Times New Roman"/>
          <w:b w:val="0"/>
          <w:bCs w:val="0"/>
          <w:color w:val="auto"/>
          <w:highlight w:val="none"/>
        </w:rPr>
        <w:t>。</w:t>
      </w:r>
      <w:r>
        <w:rPr>
          <w:rFonts w:hint="default" w:ascii="Times New Roman" w:hAnsi="Times New Roman"/>
          <w:color w:val="auto"/>
          <w:highlight w:val="none"/>
        </w:rPr>
        <w:t>全区每亩耕地种植业年产值近3万元，特色农业占农业总产值比重90%，处于全省的前列。</w:t>
      </w:r>
    </w:p>
    <w:p w14:paraId="60134917">
      <w:pPr>
        <w:pStyle w:val="5"/>
        <w:rPr>
          <w:rFonts w:hint="default" w:ascii="Times New Roman" w:hAnsi="Times New Roman" w:cstheme="minorBidi"/>
          <w:b w:val="0"/>
          <w:color w:val="auto"/>
          <w:sz w:val="32"/>
          <w:highlight w:val="none"/>
          <w:lang w:eastAsia="zh-CN"/>
        </w:rPr>
      </w:pPr>
      <w:r>
        <w:rPr>
          <w:rFonts w:hint="default" w:ascii="Times New Roman" w:hAnsi="Times New Roman" w:cstheme="minorBidi"/>
          <w:b w:val="0"/>
          <w:color w:val="auto"/>
          <w:sz w:val="32"/>
          <w:highlight w:val="none"/>
          <w:lang w:eastAsia="zh-CN"/>
        </w:rPr>
        <w:t>（</w:t>
      </w:r>
      <w:r>
        <w:rPr>
          <w:rFonts w:hint="default" w:ascii="Times New Roman" w:hAnsi="Times New Roman" w:cstheme="minorBidi"/>
          <w:b w:val="0"/>
          <w:color w:val="auto"/>
          <w:sz w:val="32"/>
          <w:highlight w:val="none"/>
          <w:lang w:val="en-US" w:eastAsia="zh-CN"/>
        </w:rPr>
        <w:t>3</w:t>
      </w:r>
      <w:r>
        <w:rPr>
          <w:rFonts w:hint="default" w:ascii="Times New Roman" w:hAnsi="Times New Roman" w:cstheme="minorBidi"/>
          <w:b w:val="0"/>
          <w:color w:val="auto"/>
          <w:sz w:val="32"/>
          <w:highlight w:val="none"/>
          <w:lang w:eastAsia="zh-CN"/>
        </w:rPr>
        <w:t>）“互联网+农业”发展快速</w:t>
      </w:r>
    </w:p>
    <w:p w14:paraId="6DD8081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color w:val="auto"/>
          <w:sz w:val="32"/>
          <w:highlight w:val="none"/>
        </w:rPr>
      </w:pPr>
      <w:r>
        <w:rPr>
          <w:rFonts w:hint="default" w:ascii="Times New Roman" w:hAnsi="Times New Roman" w:eastAsia="仿宋_GB2312" w:cs="Times New Roman"/>
          <w:b w:val="0"/>
          <w:bCs/>
          <w:color w:val="auto"/>
          <w:sz w:val="32"/>
          <w:highlight w:val="none"/>
        </w:rPr>
        <w:t>澄海区是全市首个农村电子商务示范区，通过实施“百村电商计划”，大力打造农村电商、农业电商和农产品物流配送平台载体，积极引导各类农业经营主体、特色农产品生产基地与电商企业有效对接，2020年，汕头宝奥城电子商务园区入选国家电子商务示范基地。大力</w:t>
      </w:r>
      <w:r>
        <w:rPr>
          <w:rFonts w:hint="default" w:ascii="Times New Roman" w:hAnsi="Times New Roman" w:eastAsia="仿宋_GB2312" w:cs="Times New Roman"/>
          <w:color w:val="auto"/>
          <w:sz w:val="32"/>
          <w:highlight w:val="none"/>
        </w:rPr>
        <w:t>推进农社对接、农超对接、农企对接，建立“订单生产、定向供给”模式，构建高度顺畅的农产品产销链条。扶持乡村电商服务站点建设，依托京东商城、苏宁易购、“汕头农特馆”“汕头农业APP”建设打造区域农业电商平台，网聚并提升“赶鲜网”、广东心瓷科技、日日香、物只卤鹅、仁夺、鸿图、远东国兰、广东和利农、佳盛等农业电商企业，打造电子商务进农村综合示范和电商产业园，进一步提升聚集品牌推广、物流集散、人才培养、技术支持、质量安全等功能服务。</w:t>
      </w:r>
      <w:r>
        <w:rPr>
          <w:rFonts w:hint="default" w:ascii="Times New Roman" w:hAnsi="Times New Roman" w:eastAsia="仿宋_GB2312" w:cs="Times New Roman"/>
          <w:b w:val="0"/>
          <w:bCs/>
          <w:color w:val="auto"/>
          <w:sz w:val="32"/>
          <w:highlight w:val="none"/>
        </w:rPr>
        <w:t>目前全区有心瓷农业电商产业园1个、电商驿站3个，国兰、仁夺、鹅品汇等30多个电商直播间。</w:t>
      </w:r>
    </w:p>
    <w:p w14:paraId="78786C22">
      <w:pPr>
        <w:pStyle w:val="5"/>
        <w:rPr>
          <w:rFonts w:hint="default" w:ascii="Times New Roman" w:hAnsi="Times New Roman" w:cstheme="minorBidi"/>
          <w:b w:val="0"/>
          <w:color w:val="auto"/>
          <w:sz w:val="32"/>
          <w:highlight w:val="none"/>
          <w:lang w:eastAsia="zh-CN"/>
        </w:rPr>
      </w:pPr>
      <w:r>
        <w:rPr>
          <w:rFonts w:hint="default" w:ascii="Times New Roman" w:hAnsi="Times New Roman" w:cstheme="minorBidi"/>
          <w:b w:val="0"/>
          <w:color w:val="auto"/>
          <w:sz w:val="32"/>
          <w:highlight w:val="none"/>
          <w:lang w:eastAsia="zh-CN"/>
        </w:rPr>
        <w:t>（</w:t>
      </w:r>
      <w:r>
        <w:rPr>
          <w:rFonts w:hint="eastAsia" w:ascii="Times New Roman" w:hAnsi="Times New Roman" w:cstheme="minorBidi"/>
          <w:b w:val="0"/>
          <w:color w:val="auto"/>
          <w:sz w:val="32"/>
          <w:highlight w:val="none"/>
          <w:lang w:val="en-US" w:eastAsia="zh-CN"/>
        </w:rPr>
        <w:t>4</w:t>
      </w:r>
      <w:r>
        <w:rPr>
          <w:rFonts w:hint="default" w:ascii="Times New Roman" w:hAnsi="Times New Roman" w:cstheme="minorBidi"/>
          <w:b w:val="0"/>
          <w:color w:val="auto"/>
          <w:sz w:val="32"/>
          <w:highlight w:val="none"/>
          <w:lang w:eastAsia="zh-CN"/>
        </w:rPr>
        <w:t>）美丽乡村助推乡村振兴迈入新阶段</w:t>
      </w:r>
    </w:p>
    <w:p w14:paraId="1D4BF03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val="0"/>
          <w:bCs/>
          <w:color w:val="auto"/>
          <w:sz w:val="32"/>
          <w:highlight w:val="none"/>
          <w:lang w:val="en-US" w:eastAsia="zh-CN"/>
        </w:rPr>
      </w:pPr>
      <w:r>
        <w:rPr>
          <w:rFonts w:hint="default" w:ascii="Times New Roman" w:hAnsi="Times New Roman" w:eastAsia="仿宋_GB2312" w:cs="Times New Roman"/>
          <w:b/>
          <w:color w:val="auto"/>
          <w:sz w:val="32"/>
          <w:highlight w:val="none"/>
        </w:rPr>
        <w:t>深化</w:t>
      </w:r>
      <w:r>
        <w:rPr>
          <w:rFonts w:hint="eastAsia" w:ascii="Times New Roman" w:hAnsi="Times New Roman" w:eastAsia="仿宋_GB2312" w:cs="Times New Roman"/>
          <w:b/>
          <w:color w:val="auto"/>
          <w:sz w:val="32"/>
          <w:highlight w:val="none"/>
          <w:lang w:val="en-US" w:eastAsia="zh-CN"/>
        </w:rPr>
        <w:t>农村综合</w:t>
      </w:r>
      <w:r>
        <w:rPr>
          <w:rFonts w:hint="eastAsia" w:ascii="Times New Roman" w:hAnsi="Times New Roman" w:cs="Times New Roman"/>
          <w:b/>
          <w:color w:val="auto"/>
          <w:sz w:val="32"/>
          <w:highlight w:val="none"/>
          <w:lang w:val="en-US" w:eastAsia="zh-CN"/>
        </w:rPr>
        <w:t>改革</w:t>
      </w:r>
      <w:r>
        <w:rPr>
          <w:rFonts w:hint="default" w:ascii="Times New Roman" w:hAnsi="Times New Roman" w:eastAsia="仿宋_GB2312" w:cs="Times New Roman"/>
          <w:b/>
          <w:color w:val="auto"/>
          <w:sz w:val="32"/>
          <w:highlight w:val="none"/>
        </w:rPr>
        <w:t>。</w:t>
      </w:r>
      <w:r>
        <w:rPr>
          <w:rFonts w:hint="eastAsia" w:ascii="Times New Roman" w:hAnsi="Times New Roman" w:eastAsia="仿宋_GB2312" w:cs="Times New Roman"/>
          <w:b w:val="0"/>
          <w:bCs/>
          <w:color w:val="auto"/>
          <w:sz w:val="32"/>
          <w:highlight w:val="none"/>
          <w:lang w:val="en-US" w:eastAsia="zh-CN"/>
        </w:rPr>
        <w:t>一是加强农村集体“三资”管理。结合农村集体资产清产核资工作，推进农村“三资”管理基础数据录入，开展农村集体“三资”管理专项整治工作，促进农村集体资产的规范管理和农村集体经济持续健康发展。至目前，全区共建成1个区级交易平台、11个镇级交易平台、172个村级交易平台，三资平台累计交易宗数18389宗，交易总金额26.89亿元。二是抓好产权制度改革。加强扫尾工作，通过下乡指导、上报月报等方式方法，对进度落后的镇、村进行督促。完成集体经济组织成员身份确认61万余人，占比98%以上。推进产权制度改革纵深开展，在完成清产核资及成员确认的基础上，大力开展资产量化改革，目前已有203个符合改革条件的农村集体经济组织完成资产量化改革。开展农村集体经济组织统一信用代码赋码，颁发《农村集体经济组织登记证》，204个农村集体经济组织均已完成登记赋码颁证工作。三是推进农村承包地经营权流转工作。研究</w:t>
      </w:r>
      <w:r>
        <w:rPr>
          <w:rFonts w:hint="eastAsia" w:ascii="Times New Roman" w:hAnsi="Times New Roman" w:cs="Times New Roman"/>
          <w:b w:val="0"/>
          <w:bCs/>
          <w:color w:val="auto"/>
          <w:sz w:val="32"/>
          <w:highlight w:val="none"/>
          <w:lang w:val="en-US" w:eastAsia="zh-CN"/>
        </w:rPr>
        <w:t>制定</w:t>
      </w:r>
      <w:r>
        <w:rPr>
          <w:rFonts w:hint="eastAsia" w:ascii="Times New Roman" w:hAnsi="Times New Roman" w:eastAsia="仿宋_GB2312" w:cs="Times New Roman"/>
          <w:b w:val="0"/>
          <w:bCs/>
          <w:color w:val="auto"/>
          <w:sz w:val="32"/>
          <w:highlight w:val="none"/>
          <w:lang w:val="en-US" w:eastAsia="zh-CN"/>
        </w:rPr>
        <w:t>奖励政策《2021年澄海区农村土地承包经营权流转奖励实施方案》，对土地承包经营权流转进行奖补，截至目前共流转土地面积1887.44亩。</w:t>
      </w:r>
    </w:p>
    <w:p w14:paraId="78413FD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仿宋_GB2312"/>
          <w:color w:val="auto"/>
          <w:sz w:val="32"/>
          <w:szCs w:val="32"/>
          <w:highlight w:val="none"/>
          <w:lang w:val="en-US" w:eastAsia="zh-CN"/>
        </w:rPr>
      </w:pPr>
      <w:r>
        <w:rPr>
          <w:rFonts w:hint="default" w:ascii="Times New Roman" w:hAnsi="Times New Roman" w:eastAsia="仿宋_GB2312" w:cs="Times New Roman"/>
          <w:b/>
          <w:color w:val="auto"/>
          <w:sz w:val="32"/>
          <w:highlight w:val="none"/>
        </w:rPr>
        <w:t>美丽乡村建设成效显著。</w:t>
      </w:r>
      <w:r>
        <w:rPr>
          <w:rFonts w:hint="default" w:ascii="Times New Roman" w:hAnsi="Times New Roman" w:eastAsia="仿宋_GB2312" w:cs="Times New Roman"/>
          <w:b w:val="0"/>
          <w:bCs/>
          <w:color w:val="auto"/>
          <w:sz w:val="32"/>
          <w:highlight w:val="none"/>
        </w:rPr>
        <w:t>印发《深入开展村庄清洁行动的实施方案》（澄农办〔2022〕6号）</w:t>
      </w:r>
      <w:r>
        <w:rPr>
          <w:rFonts w:hint="eastAsia" w:ascii="Times New Roman" w:hAnsi="Times New Roman" w:eastAsia="仿宋_GB2312" w:cs="Times New Roman"/>
          <w:b w:val="0"/>
          <w:bCs/>
          <w:color w:val="auto"/>
          <w:sz w:val="32"/>
          <w:highlight w:val="none"/>
          <w:lang w:eastAsia="zh-CN"/>
        </w:rPr>
        <w:t>，</w:t>
      </w:r>
      <w:r>
        <w:rPr>
          <w:rFonts w:hint="eastAsia" w:ascii="Times New Roman" w:hAnsi="Times New Roman" w:eastAsia="仿宋_GB2312" w:cs="Times New Roman"/>
          <w:b w:val="0"/>
          <w:bCs/>
          <w:color w:val="auto"/>
          <w:sz w:val="32"/>
          <w:highlight w:val="none"/>
          <w:lang w:val="en-US" w:eastAsia="zh-CN"/>
        </w:rPr>
        <w:t>2022年底全区美丽宜居村比例提升至60%以上，首轮农村人居环境整治已全面完成，农村环境卫生长效保洁覆盖率、无害化户厕普及率均达到100%，实现户户通自来水。推动“红色侨乡”建设，确定隆都镇后沟村、前美村、上北新乡村为汕头市“红色侨乡”精品线</w:t>
      </w:r>
      <w:r>
        <w:rPr>
          <w:rFonts w:hint="eastAsia" w:ascii="Times New Roman" w:hAnsi="Times New Roman" w:cs="Times New Roman"/>
          <w:b w:val="0"/>
          <w:bCs/>
          <w:color w:val="auto"/>
          <w:sz w:val="32"/>
          <w:highlight w:val="none"/>
          <w:lang w:val="en-US" w:eastAsia="zh-CN"/>
        </w:rPr>
        <w:t>创建</w:t>
      </w:r>
      <w:r>
        <w:rPr>
          <w:rFonts w:hint="eastAsia" w:ascii="Times New Roman" w:hAnsi="Times New Roman" w:eastAsia="仿宋_GB2312" w:cs="Times New Roman"/>
          <w:b w:val="0"/>
          <w:bCs/>
          <w:color w:val="auto"/>
          <w:sz w:val="32"/>
          <w:highlight w:val="none"/>
          <w:lang w:val="en-US" w:eastAsia="zh-CN"/>
        </w:rPr>
        <w:t>村，建设乡村振兴示范带3条。持续推进农房管控和乡村风貌提升建设，已完成存量农房微改造2930户，已建设四小园313个。</w:t>
      </w:r>
      <w:r>
        <w:rPr>
          <w:rFonts w:hint="default" w:ascii="Times New Roman" w:hAnsi="Times New Roman" w:eastAsia="仿宋_GB2312" w:cs="Times New Roman"/>
          <w:color w:val="auto"/>
          <w:sz w:val="32"/>
          <w:highlight w:val="none"/>
        </w:rPr>
        <w:t>乡村旅游快速发展</w:t>
      </w:r>
      <w:r>
        <w:rPr>
          <w:rFonts w:hint="eastAsia" w:ascii="Times New Roman" w:hAnsi="Times New Roman" w:eastAsia="仿宋_GB2312" w:cs="Times New Roman"/>
          <w:color w:val="auto"/>
          <w:sz w:val="32"/>
          <w:highlight w:val="none"/>
          <w:lang w:val="en-US" w:eastAsia="zh-CN"/>
        </w:rPr>
        <w:t>，</w:t>
      </w:r>
      <w:r>
        <w:rPr>
          <w:rFonts w:hint="default" w:ascii="Times New Roman" w:hAnsi="Times New Roman" w:eastAsia="仿宋_GB2312" w:cs="仿宋_GB2312"/>
          <w:color w:val="auto"/>
          <w:sz w:val="32"/>
          <w:szCs w:val="32"/>
          <w:highlight w:val="none"/>
          <w:lang w:val="en-US" w:eastAsia="zh-CN"/>
        </w:rPr>
        <w:t>全区有AAAA级旅游景区2个（前美古村侨文化旅游区、莲华乡村旅游区），AAA级旅游景区1个（宝奥玩具文旅产业园景区），4星级酒店1家。还有全国乡村旅游重点村1个（前美村），全国休闲农业和乡村旅游示范点1个（莲华乡村旅游区），广东省旅游风情小镇1个（东里镇），广东省文化和旅游特色村6个，广东省乡村旅游精品线路4条，以及盐鸿薄壳美食文化旅游节，莲华乡村旅游节等品牌节庆活动。形成了具有一定影响力的潮侨文化旅游、休闲农业和乡村旅游以及美食文化旅游等旅游产品和线路。2022年，汕头市澄海区入选广东省全域旅游示范区第五批名单。</w:t>
      </w:r>
    </w:p>
    <w:p w14:paraId="0A14F85E">
      <w:pPr>
        <w:pStyle w:val="4"/>
        <w:keepLines/>
        <w:spacing w:line="590" w:lineRule="exact"/>
        <w:ind w:firstLine="640"/>
        <w:outlineLvl w:val="1"/>
        <w:rPr>
          <w:rFonts w:hint="eastAsia" w:ascii="Times New Roman" w:hAnsi="Times New Roman" w:eastAsia="楷体_GB2312" w:cs="楷体_GB2312"/>
          <w:b/>
          <w:bCs w:val="0"/>
          <w:color w:val="auto"/>
          <w:sz w:val="32"/>
          <w:szCs w:val="22"/>
          <w:highlight w:val="none"/>
          <w:lang w:val="en-US" w:eastAsia="zh-CN"/>
        </w:rPr>
      </w:pPr>
      <w:bookmarkStart w:id="3" w:name="_Toc14284"/>
      <w:r>
        <w:rPr>
          <w:rFonts w:hint="eastAsia" w:ascii="Times New Roman" w:hAnsi="Times New Roman" w:eastAsia="楷体_GB2312" w:cs="楷体_GB2312"/>
          <w:b/>
          <w:bCs w:val="0"/>
          <w:color w:val="auto"/>
          <w:sz w:val="32"/>
          <w:szCs w:val="22"/>
          <w:highlight w:val="none"/>
          <w:lang w:val="en-US" w:eastAsia="zh-CN"/>
        </w:rPr>
        <w:t>（二）产业园概况</w:t>
      </w:r>
      <w:bookmarkEnd w:id="3"/>
    </w:p>
    <w:p w14:paraId="5324C9ED">
      <w:pPr>
        <w:pStyle w:val="4"/>
        <w:rPr>
          <w:rFonts w:hint="eastAsia" w:ascii="Times New Roman" w:hAnsi="Times New Roman" w:eastAsia="仿宋_GB2312" w:cs="仿宋_GB2312"/>
          <w:color w:val="auto"/>
          <w:szCs w:val="32"/>
          <w:highlight w:val="none"/>
          <w:lang w:val="en-US" w:eastAsia="zh-CN"/>
        </w:rPr>
      </w:pPr>
      <w:r>
        <w:rPr>
          <w:rFonts w:hint="default" w:ascii="Times New Roman" w:hAnsi="Times New Roman" w:cs="仿宋_GB2312"/>
          <w:color w:val="auto"/>
          <w:szCs w:val="32"/>
          <w:highlight w:val="none"/>
          <w:lang w:val="en-US" w:eastAsia="zh-CN"/>
        </w:rPr>
        <w:t>1.</w:t>
      </w:r>
      <w:r>
        <w:rPr>
          <w:rFonts w:hint="eastAsia" w:ascii="Times New Roman" w:hAnsi="Times New Roman" w:cs="仿宋_GB2312"/>
          <w:b/>
          <w:color w:val="auto"/>
          <w:szCs w:val="32"/>
          <w:highlight w:val="none"/>
          <w:lang w:val="en-US" w:eastAsia="zh-CN"/>
        </w:rPr>
        <w:t>产业园范围</w:t>
      </w:r>
    </w:p>
    <w:p w14:paraId="52D7DFA6">
      <w:pPr>
        <w:bidi w:val="0"/>
        <w:rPr>
          <w:rFonts w:hint="default" w:ascii="Times New Roman" w:hAnsi="Times New Roman"/>
          <w:color w:val="auto"/>
          <w:highlight w:val="none"/>
        </w:rPr>
      </w:pPr>
      <w:r>
        <w:rPr>
          <w:rFonts w:hint="eastAsia" w:ascii="Times New Roman" w:hAnsi="Times New Roman"/>
          <w:color w:val="auto"/>
          <w:highlight w:val="none"/>
          <w:lang w:val="en-US" w:eastAsia="zh-CN"/>
        </w:rPr>
        <w:t>澄海区</w:t>
      </w:r>
      <w:r>
        <w:rPr>
          <w:rFonts w:hint="default" w:ascii="Times New Roman" w:hAnsi="Times New Roman"/>
          <w:color w:val="auto"/>
          <w:highlight w:val="none"/>
        </w:rPr>
        <w:t>狮头鹅饲养量、种鹅存栏量、鹅苗生产量等在全国处于领先地位，并已成为当地农业特色品牌和重要的富民兴村、联农带农支柱产业，形成了全国最完整的种鹅繁育、种蛋电孵、鹅苗销售、肉鹅饲养、冰鲜配送、卤制加工、羽绒加工、电商销售等产业链。</w:t>
      </w:r>
      <w:r>
        <w:rPr>
          <w:rFonts w:hint="eastAsia" w:ascii="Times New Roman" w:hAnsi="Times New Roman"/>
          <w:color w:val="auto"/>
          <w:highlight w:val="none"/>
          <w:lang w:val="en-US" w:eastAsia="zh-CN"/>
        </w:rPr>
        <w:t>澄海区委区政府以全区狮头鹅产业发展重点集聚区作为产业园建设范围，即</w:t>
      </w:r>
      <w:r>
        <w:rPr>
          <w:rFonts w:hint="default" w:ascii="Times New Roman" w:hAnsi="Times New Roman"/>
          <w:color w:val="auto"/>
          <w:highlight w:val="none"/>
        </w:rPr>
        <w:t>隆都镇、莲华镇、盐鸿镇、溪南镇、</w:t>
      </w:r>
      <w:r>
        <w:rPr>
          <w:rFonts w:hint="eastAsia" w:ascii="Times New Roman" w:hAnsi="Times New Roman"/>
          <w:color w:val="auto"/>
          <w:highlight w:val="none"/>
          <w:lang w:val="en-US" w:eastAsia="zh-CN"/>
        </w:rPr>
        <w:t>莲上镇、</w:t>
      </w:r>
      <w:r>
        <w:rPr>
          <w:rFonts w:hint="default" w:ascii="Times New Roman" w:hAnsi="Times New Roman"/>
          <w:color w:val="auto"/>
          <w:highlight w:val="none"/>
        </w:rPr>
        <w:t>莲下镇、</w:t>
      </w:r>
      <w:r>
        <w:rPr>
          <w:rFonts w:hint="eastAsia" w:ascii="Times New Roman" w:hAnsi="Times New Roman"/>
          <w:color w:val="auto"/>
          <w:highlight w:val="none"/>
          <w:lang w:val="en-US" w:eastAsia="zh-CN"/>
        </w:rPr>
        <w:t>东里镇、</w:t>
      </w:r>
      <w:r>
        <w:rPr>
          <w:rFonts w:hint="default" w:ascii="Times New Roman" w:hAnsi="Times New Roman"/>
          <w:color w:val="auto"/>
          <w:highlight w:val="none"/>
        </w:rPr>
        <w:t>凤翔街道</w:t>
      </w:r>
      <w:r>
        <w:rPr>
          <w:rFonts w:hint="eastAsia" w:ascii="Times New Roman" w:hAnsi="Times New Roman"/>
          <w:color w:val="auto"/>
          <w:highlight w:val="none"/>
          <w:lang w:val="en-US" w:eastAsia="zh-CN"/>
        </w:rPr>
        <w:t>8</w:t>
      </w:r>
      <w:r>
        <w:rPr>
          <w:rFonts w:hint="default" w:ascii="Times New Roman" w:hAnsi="Times New Roman"/>
          <w:color w:val="auto"/>
          <w:highlight w:val="none"/>
        </w:rPr>
        <w:t>个镇（街道），国土总面积</w:t>
      </w:r>
      <w:r>
        <w:rPr>
          <w:rFonts w:hint="eastAsia" w:ascii="Times New Roman" w:hAnsi="Times New Roman"/>
          <w:color w:val="auto"/>
          <w:highlight w:val="none"/>
          <w:lang w:val="en-US" w:eastAsia="zh-CN"/>
        </w:rPr>
        <w:t>300.24</w:t>
      </w:r>
      <w:r>
        <w:rPr>
          <w:rFonts w:hint="default" w:ascii="Times New Roman" w:hAnsi="Times New Roman"/>
          <w:color w:val="auto"/>
          <w:highlight w:val="none"/>
        </w:rPr>
        <w:t>平方公里。下辖</w:t>
      </w:r>
      <w:r>
        <w:rPr>
          <w:rFonts w:hint="eastAsia" w:ascii="Times New Roman" w:hAnsi="Times New Roman"/>
          <w:color w:val="auto"/>
          <w:highlight w:val="none"/>
          <w:lang w:val="en-US" w:eastAsia="zh-CN"/>
        </w:rPr>
        <w:t>137个村（社区）</w:t>
      </w:r>
      <w:r>
        <w:rPr>
          <w:rFonts w:hint="default" w:ascii="Times New Roman" w:hAnsi="Times New Roman"/>
          <w:color w:val="auto"/>
          <w:highlight w:val="none"/>
        </w:rPr>
        <w:t>，与饶平县钱东镇及潮州市潮安区交界，是全区狮头鹅产业核心优势产区。产业园有国道324，省道231、336，金鸿公路等通过，园区路网发达，交通区位条件便利，为产业园对外开展合作宣传和经贸往来提供了很好的基础。</w:t>
      </w:r>
    </w:p>
    <w:p w14:paraId="1DE1FE1E">
      <w:pPr>
        <w:bidi w:val="0"/>
        <w:spacing w:line="240" w:lineRule="auto"/>
        <w:ind w:left="0" w:leftChars="0" w:firstLine="0" w:firstLineChars="0"/>
        <w:jc w:val="center"/>
        <w:rPr>
          <w:rFonts w:hint="eastAsia" w:ascii="Times New Roman" w:hAnsi="Times New Roman" w:eastAsia="仿宋_GB2312"/>
          <w:color w:val="auto"/>
          <w:highlight w:val="none"/>
          <w:lang w:eastAsia="zh-CN"/>
        </w:rPr>
      </w:pPr>
      <w:r>
        <w:rPr>
          <w:rFonts w:hint="eastAsia" w:ascii="Times New Roman" w:hAnsi="Times New Roman" w:eastAsia="仿宋_GB2312"/>
          <w:color w:val="auto"/>
          <w:highlight w:val="none"/>
          <w:lang w:eastAsia="zh-CN"/>
        </w:rPr>
        <w:drawing>
          <wp:inline distT="0" distB="0" distL="114300" distR="114300">
            <wp:extent cx="5263515" cy="6998970"/>
            <wp:effectExtent l="0" t="0" r="13335" b="11430"/>
            <wp:docPr id="1" name="图片 1" descr="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范围图"/>
                    <pic:cNvPicPr>
                      <a:picLocks noChangeAspect="1"/>
                    </pic:cNvPicPr>
                  </pic:nvPicPr>
                  <pic:blipFill>
                    <a:blip r:embed="rId11"/>
                    <a:stretch>
                      <a:fillRect/>
                    </a:stretch>
                  </pic:blipFill>
                  <pic:spPr>
                    <a:xfrm>
                      <a:off x="0" y="0"/>
                      <a:ext cx="5263515" cy="6998970"/>
                    </a:xfrm>
                    <a:prstGeom prst="rect">
                      <a:avLst/>
                    </a:prstGeom>
                  </pic:spPr>
                </pic:pic>
              </a:graphicData>
            </a:graphic>
          </wp:inline>
        </w:drawing>
      </w:r>
    </w:p>
    <w:p w14:paraId="70FE4AF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olor w:val="auto"/>
          <w:highlight w:val="none"/>
          <w:lang w:val="en-US" w:eastAsia="zh-CN"/>
        </w:rPr>
      </w:pPr>
      <w:r>
        <w:rPr>
          <w:rFonts w:hint="default" w:ascii="Times New Roman" w:hAnsi="Times New Roman"/>
          <w:color w:val="auto"/>
          <w:highlight w:val="none"/>
          <w:lang w:val="en-US" w:eastAsia="zh-CN"/>
        </w:rPr>
        <w:t>产业园</w:t>
      </w:r>
      <w:r>
        <w:rPr>
          <w:rFonts w:hint="eastAsia" w:ascii="Times New Roman" w:hAnsi="Times New Roman"/>
          <w:color w:val="auto"/>
          <w:highlight w:val="none"/>
          <w:lang w:val="en-US" w:eastAsia="zh-CN"/>
        </w:rPr>
        <w:t>建设</w:t>
      </w:r>
      <w:r>
        <w:rPr>
          <w:rFonts w:hint="default" w:ascii="Times New Roman" w:hAnsi="Times New Roman"/>
          <w:color w:val="auto"/>
          <w:highlight w:val="none"/>
          <w:lang w:val="en-US" w:eastAsia="zh-CN"/>
        </w:rPr>
        <w:t>范围图</w:t>
      </w:r>
    </w:p>
    <w:p w14:paraId="1518B3C8">
      <w:pPr>
        <w:bidi w:val="0"/>
        <w:ind w:firstLine="0" w:firstLineChars="0"/>
        <w:jc w:val="center"/>
        <w:rPr>
          <w:rFonts w:hint="default" w:ascii="Times New Roman" w:hAnsi="Times New Roman"/>
          <w:color w:val="auto"/>
          <w:highlight w:val="none"/>
        </w:rPr>
      </w:pPr>
    </w:p>
    <w:p w14:paraId="0532B321">
      <w:pPr>
        <w:pStyle w:val="4"/>
        <w:rPr>
          <w:rFonts w:hint="eastAsia" w:ascii="Times New Roman" w:hAnsi="Times New Roman" w:eastAsia="仿宋_GB2312" w:cs="仿宋_GB2312"/>
          <w:b/>
          <w:color w:val="auto"/>
          <w:szCs w:val="32"/>
          <w:highlight w:val="none"/>
          <w:lang w:val="en-US" w:eastAsia="zh-CN"/>
        </w:rPr>
      </w:pPr>
      <w:r>
        <w:rPr>
          <w:rFonts w:hint="eastAsia" w:ascii="Times New Roman" w:hAnsi="Times New Roman" w:cs="仿宋_GB2312"/>
          <w:b/>
          <w:color w:val="auto"/>
          <w:szCs w:val="32"/>
          <w:highlight w:val="none"/>
          <w:lang w:val="en-US" w:eastAsia="zh-CN"/>
        </w:rPr>
        <w:t>2.产业园基本情况</w:t>
      </w:r>
    </w:p>
    <w:p w14:paraId="62E9B012">
      <w:pPr>
        <w:bidi w:val="0"/>
        <w:ind w:firstLine="640" w:firstLineChars="200"/>
        <w:rPr>
          <w:rFonts w:hint="default" w:ascii="Times New Roman" w:hAnsi="Times New Roman"/>
          <w:color w:val="auto"/>
          <w:highlight w:val="none"/>
          <w:lang w:val="en-US" w:eastAsia="zh-CN"/>
        </w:rPr>
      </w:pPr>
      <w:r>
        <w:rPr>
          <w:rFonts w:hint="eastAsia" w:ascii="Times New Roman" w:hAnsi="Times New Roman"/>
          <w:b w:val="0"/>
          <w:bCs w:val="0"/>
          <w:color w:val="auto"/>
          <w:highlight w:val="none"/>
          <w:lang w:val="en-US" w:eastAsia="zh-CN"/>
        </w:rPr>
        <w:t>2023</w:t>
      </w:r>
      <w:r>
        <w:rPr>
          <w:rFonts w:hint="default" w:ascii="Times New Roman" w:hAnsi="Times New Roman"/>
          <w:b w:val="0"/>
          <w:bCs w:val="0"/>
          <w:color w:val="auto"/>
          <w:highlight w:val="none"/>
        </w:rPr>
        <w:t>年，</w:t>
      </w:r>
      <w:r>
        <w:rPr>
          <w:rFonts w:hint="eastAsia" w:ascii="Times New Roman" w:hAnsi="Times New Roman"/>
          <w:b w:val="0"/>
          <w:bCs w:val="0"/>
          <w:color w:val="auto"/>
          <w:highlight w:val="none"/>
          <w:lang w:val="en-US" w:eastAsia="zh-CN"/>
        </w:rPr>
        <w:t>产业园总产值达到145.59亿元，其中狮头鹅主导产业产值95.49亿元，占产业园总产值的65.59%。园内农民可支配收入达到3.17万元，</w:t>
      </w:r>
      <w:r>
        <w:rPr>
          <w:rFonts w:hint="default" w:ascii="Times New Roman" w:hAnsi="Times New Roman"/>
          <w:b w:val="0"/>
          <w:bCs w:val="0"/>
          <w:color w:val="auto"/>
          <w:highlight w:val="none"/>
        </w:rPr>
        <w:t>高于当地平均水平的3</w:t>
      </w:r>
      <w:r>
        <w:rPr>
          <w:rFonts w:hint="eastAsia" w:ascii="Times New Roman" w:hAnsi="Times New Roman"/>
          <w:b w:val="0"/>
          <w:bCs w:val="0"/>
          <w:color w:val="auto"/>
          <w:highlight w:val="none"/>
          <w:lang w:val="en-US" w:eastAsia="zh-CN"/>
        </w:rPr>
        <w:t>1.3</w:t>
      </w:r>
      <w:r>
        <w:rPr>
          <w:rFonts w:hint="default" w:ascii="Times New Roman" w:hAnsi="Times New Roman"/>
          <w:b w:val="0"/>
          <w:bCs w:val="0"/>
          <w:color w:val="auto"/>
          <w:highlight w:val="none"/>
        </w:rPr>
        <w:t>%</w:t>
      </w:r>
      <w:r>
        <w:rPr>
          <w:rFonts w:hint="eastAsia" w:ascii="Times New Roman" w:hAnsi="Times New Roman"/>
          <w:b w:val="0"/>
          <w:bCs w:val="0"/>
          <w:color w:val="auto"/>
          <w:highlight w:val="none"/>
          <w:lang w:val="en-US" w:eastAsia="zh-CN"/>
        </w:rPr>
        <w:t>。</w:t>
      </w:r>
      <w:r>
        <w:rPr>
          <w:rFonts w:hint="eastAsia" w:ascii="Times New Roman" w:hAnsi="Times New Roman"/>
          <w:color w:val="auto"/>
          <w:highlight w:val="none"/>
          <w:lang w:val="en-US" w:eastAsia="zh-CN"/>
        </w:rPr>
        <w:t>园区企业实</w:t>
      </w:r>
      <w:r>
        <w:rPr>
          <w:rFonts w:hint="eastAsia" w:ascii="Times New Roman" w:hAnsi="Times New Roman"/>
          <w:b w:val="0"/>
          <w:bCs w:val="0"/>
          <w:color w:val="auto"/>
          <w:highlight w:val="none"/>
          <w:lang w:val="en-US" w:eastAsia="zh-CN"/>
        </w:rPr>
        <w:t>现集群式集约化发展，</w:t>
      </w:r>
      <w:r>
        <w:rPr>
          <w:rFonts w:hint="default" w:ascii="Times New Roman" w:hAnsi="Times New Roman"/>
          <w:b w:val="0"/>
          <w:bCs w:val="0"/>
          <w:color w:val="auto"/>
          <w:highlight w:val="none"/>
        </w:rPr>
        <w:t>产业园已经培育各类年收益10万元以上的家庭农场60多个</w:t>
      </w:r>
      <w:r>
        <w:rPr>
          <w:rFonts w:hint="eastAsia" w:ascii="Times New Roman" w:hAnsi="Times New Roman"/>
          <w:b w:val="0"/>
          <w:bCs w:val="0"/>
          <w:color w:val="auto"/>
          <w:highlight w:val="none"/>
          <w:lang w:eastAsia="zh-CN"/>
        </w:rPr>
        <w:t>，</w:t>
      </w:r>
      <w:r>
        <w:rPr>
          <w:rFonts w:hint="eastAsia" w:ascii="Times New Roman" w:hAnsi="Times New Roman"/>
          <w:b w:val="0"/>
          <w:bCs w:val="0"/>
          <w:color w:val="auto"/>
          <w:highlight w:val="none"/>
          <w:lang w:val="en-US" w:eastAsia="zh-CN"/>
        </w:rPr>
        <w:t>培育省级示范家庭农场9家</w:t>
      </w:r>
      <w:r>
        <w:rPr>
          <w:rFonts w:hint="default" w:ascii="Times New Roman" w:hAnsi="Times New Roman"/>
          <w:b w:val="0"/>
          <w:bCs w:val="0"/>
          <w:color w:val="auto"/>
          <w:highlight w:val="none"/>
        </w:rPr>
        <w:t>；农民专业合作组织服务效应明显，</w:t>
      </w:r>
      <w:r>
        <w:rPr>
          <w:rFonts w:hint="eastAsia" w:ascii="Times New Roman" w:hAnsi="Times New Roman"/>
          <w:b w:val="0"/>
          <w:bCs w:val="0"/>
          <w:color w:val="auto"/>
          <w:highlight w:val="none"/>
          <w:lang w:val="en-US" w:eastAsia="zh-CN"/>
        </w:rPr>
        <w:t>拥有</w:t>
      </w:r>
      <w:r>
        <w:rPr>
          <w:rFonts w:hint="default" w:ascii="Times New Roman" w:hAnsi="Times New Roman"/>
          <w:b w:val="0"/>
          <w:bCs w:val="0"/>
          <w:color w:val="auto"/>
          <w:highlight w:val="none"/>
          <w:lang w:val="en-US" w:eastAsia="zh-CN"/>
        </w:rPr>
        <w:t>国家级农民专业合作社示范社</w:t>
      </w:r>
      <w:r>
        <w:rPr>
          <w:rFonts w:hint="eastAsia" w:ascii="Times New Roman" w:hAnsi="Times New Roman"/>
          <w:b w:val="0"/>
          <w:bCs w:val="0"/>
          <w:color w:val="auto"/>
          <w:highlight w:val="none"/>
          <w:lang w:val="en-US" w:eastAsia="zh-CN"/>
        </w:rPr>
        <w:t>6</w:t>
      </w:r>
      <w:r>
        <w:rPr>
          <w:rFonts w:hint="default" w:ascii="Times New Roman" w:hAnsi="Times New Roman"/>
          <w:b w:val="0"/>
          <w:bCs w:val="0"/>
          <w:color w:val="auto"/>
          <w:highlight w:val="none"/>
          <w:lang w:val="en-US" w:eastAsia="zh-CN"/>
        </w:rPr>
        <w:t>家</w:t>
      </w:r>
      <w:r>
        <w:rPr>
          <w:rFonts w:hint="eastAsia" w:ascii="Times New Roman" w:hAnsi="Times New Roman"/>
          <w:b w:val="0"/>
          <w:bCs w:val="0"/>
          <w:color w:val="auto"/>
          <w:highlight w:val="none"/>
          <w:lang w:val="en-US" w:eastAsia="zh-CN"/>
        </w:rPr>
        <w:t>，省级农民专业合作社示范社10家，</w:t>
      </w:r>
      <w:r>
        <w:rPr>
          <w:rFonts w:hint="default" w:ascii="Times New Roman" w:hAnsi="Times New Roman"/>
          <w:b w:val="0"/>
          <w:bCs w:val="0"/>
          <w:color w:val="auto"/>
          <w:highlight w:val="none"/>
        </w:rPr>
        <w:t>专业合作社、专业协会及各类中介服务组织100多家，其中畜牧领域专业合作社50家。拥有各类规模以上农业龙头企业</w:t>
      </w:r>
      <w:r>
        <w:rPr>
          <w:rFonts w:hint="eastAsia" w:ascii="Times New Roman" w:hAnsi="Times New Roman"/>
          <w:b w:val="0"/>
          <w:bCs w:val="0"/>
          <w:color w:val="auto"/>
          <w:highlight w:val="none"/>
          <w:lang w:val="en-US" w:eastAsia="zh-CN"/>
        </w:rPr>
        <w:t>45</w:t>
      </w:r>
      <w:r>
        <w:rPr>
          <w:rFonts w:hint="default" w:ascii="Times New Roman" w:hAnsi="Times New Roman"/>
          <w:b w:val="0"/>
          <w:bCs w:val="0"/>
          <w:color w:val="auto"/>
          <w:highlight w:val="none"/>
        </w:rPr>
        <w:t>家，</w:t>
      </w:r>
      <w:r>
        <w:rPr>
          <w:rFonts w:hint="eastAsia" w:ascii="Times New Roman" w:hAnsi="Times New Roman"/>
          <w:b w:val="0"/>
          <w:bCs w:val="0"/>
          <w:color w:val="auto"/>
          <w:highlight w:val="none"/>
          <w:lang w:val="en-US" w:eastAsia="zh-CN"/>
        </w:rPr>
        <w:t>其中省级以上农业龙头企业8家。</w:t>
      </w:r>
    </w:p>
    <w:p w14:paraId="4C8F812D">
      <w:pPr>
        <w:pStyle w:val="4"/>
        <w:rPr>
          <w:rFonts w:hint="eastAsia" w:ascii="Times New Roman" w:hAnsi="Times New Roman" w:eastAsia="仿宋_GB2312" w:cs="仿宋_GB2312"/>
          <w:color w:val="auto"/>
          <w:sz w:val="32"/>
          <w:szCs w:val="32"/>
          <w:highlight w:val="none"/>
          <w:lang w:val="en-US" w:eastAsia="zh-CN"/>
        </w:rPr>
      </w:pPr>
      <w:r>
        <w:rPr>
          <w:rFonts w:hint="default" w:ascii="Times New Roman" w:hAnsi="Times New Roman" w:cs="仿宋_GB2312"/>
          <w:color w:val="auto"/>
          <w:sz w:val="32"/>
          <w:szCs w:val="32"/>
          <w:highlight w:val="none"/>
          <w:lang w:val="en-US" w:eastAsia="zh-CN"/>
        </w:rPr>
        <w:t>3.主导产业概况</w:t>
      </w:r>
    </w:p>
    <w:p w14:paraId="15937BDC">
      <w:pPr>
        <w:keepNext w:val="0"/>
        <w:keepLines w:val="0"/>
        <w:pageBreakBefore w:val="0"/>
        <w:widowControl w:val="0"/>
        <w:kinsoku/>
        <w:wordWrap/>
        <w:overflowPunct/>
        <w:topLinePunct w:val="0"/>
        <w:autoSpaceDE/>
        <w:autoSpaceDN/>
        <w:bidi w:val="0"/>
        <w:adjustRightInd/>
        <w:snapToGrid/>
        <w:spacing w:line="590" w:lineRule="exact"/>
        <w:textAlignment w:val="auto"/>
        <w:rPr>
          <w:rFonts w:hint="eastAsia"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澄海区为“世界鹅王之乡”，狮头鹅是我国唯一的大型鹅种，</w:t>
      </w:r>
      <w:r>
        <w:rPr>
          <w:rFonts w:hint="eastAsia" w:ascii="Times New Roman" w:hAnsi="Times New Roman" w:eastAsia="仿宋_GB2312" w:cs="仿宋_GB2312"/>
          <w:color w:val="auto"/>
          <w:sz w:val="32"/>
          <w:szCs w:val="32"/>
          <w:highlight w:val="none"/>
          <w:lang w:val="en-US" w:eastAsia="zh-CN"/>
        </w:rPr>
        <w:t>也是世界最大型鹅种之一，因其体躯硕大，头顶长有较大的黑色肉瘤，从正面观之如雄狮状，故称之为“狮头鹅”，有“世界鹅王”美誉。</w:t>
      </w:r>
      <w:r>
        <w:rPr>
          <w:rFonts w:hint="eastAsia" w:ascii="Times New Roman" w:hAnsi="Times New Roman"/>
          <w:b w:val="0"/>
          <w:bCs w:val="0"/>
          <w:color w:val="auto"/>
          <w:highlight w:val="none"/>
          <w:lang w:val="en-US" w:eastAsia="zh-CN"/>
        </w:rPr>
        <w:t>广东是我国第一养鹅大省，年出栏肉鹅1.2亿只左右，占全国总量的1/5，而狮头鹅是广东四大名鹅之首。</w:t>
      </w:r>
      <w:r>
        <w:rPr>
          <w:rFonts w:hint="eastAsia" w:ascii="Times New Roman" w:hAnsi="Times New Roman"/>
          <w:color w:val="auto"/>
          <w:highlight w:val="none"/>
          <w:lang w:val="en-US" w:eastAsia="zh-CN"/>
        </w:rPr>
        <w:t>澄海狮头鹅味道鲜美，在广东一直流传</w:t>
      </w:r>
      <w:r>
        <w:rPr>
          <w:rFonts w:hint="eastAsia" w:ascii="Times New Roman" w:hAnsi="Times New Roman"/>
          <w:b w:val="0"/>
          <w:bCs w:val="0"/>
          <w:color w:val="auto"/>
          <w:highlight w:val="none"/>
          <w:lang w:val="en-US" w:eastAsia="zh-CN"/>
        </w:rPr>
        <w:t>“识食，一定要食澄海狮头鹅”（粤语识食，是“会吃”的意思）的说法。澄海狮头鹅是世界上两种终身不患癌症的动物之一，食</w:t>
      </w:r>
      <w:r>
        <w:rPr>
          <w:rFonts w:hint="eastAsia" w:ascii="Times New Roman" w:hAnsi="Times New Roman"/>
          <w:color w:val="auto"/>
          <w:highlight w:val="none"/>
          <w:lang w:val="en-US" w:eastAsia="zh-CN"/>
        </w:rPr>
        <w:t>用健康放心，且具有极高的营养价值和药用性能。</w:t>
      </w:r>
      <w:r>
        <w:rPr>
          <w:rFonts w:hint="eastAsia" w:ascii="Times New Roman" w:hAnsi="Times New Roman"/>
          <w:b w:val="0"/>
          <w:bCs w:val="0"/>
          <w:color w:val="auto"/>
          <w:highlight w:val="none"/>
          <w:lang w:val="en-US" w:eastAsia="zh-CN"/>
        </w:rPr>
        <w:t>澄海狮头鹅肉性平、味甘，是一种高蛋白、低脂肪、低胆固醇的健康食品，具有益气补虚、和胃止渴、止咳化痰、解铅毒等作用。摄入之后更容易吸收和消化，长期食用可降低体内胆固醇含量，有防癌之功效。</w:t>
      </w:r>
    </w:p>
    <w:p w14:paraId="2843F841">
      <w:pPr>
        <w:keepNext w:val="0"/>
        <w:keepLines w:val="0"/>
        <w:pageBreakBefore w:val="0"/>
        <w:widowControl w:val="0"/>
        <w:kinsoku/>
        <w:wordWrap/>
        <w:overflowPunct/>
        <w:topLinePunct w:val="0"/>
        <w:autoSpaceDE/>
        <w:autoSpaceDN/>
        <w:bidi w:val="0"/>
        <w:adjustRightInd/>
        <w:snapToGrid/>
        <w:spacing w:line="590" w:lineRule="exact"/>
        <w:textAlignment w:val="auto"/>
        <w:rPr>
          <w:rFonts w:hint="default" w:ascii="Times New Roman" w:hAnsi="Times New Roman" w:eastAsia="仿宋_GB2312"/>
          <w:color w:val="auto"/>
          <w:highlight w:val="none"/>
          <w:lang w:val="en-US" w:eastAsia="zh-CN"/>
        </w:rPr>
      </w:pPr>
      <w:r>
        <w:rPr>
          <w:rFonts w:hint="default" w:ascii="Times New Roman" w:hAnsi="Times New Roman"/>
          <w:b w:val="0"/>
          <w:bCs w:val="0"/>
          <w:color w:val="auto"/>
          <w:highlight w:val="none"/>
        </w:rPr>
        <w:t>现“澄海系狮头鹅”已被国家列为家禽遗传资源保护名录，成为国家级畜禽遗传资源保护品种</w:t>
      </w:r>
      <w:r>
        <w:rPr>
          <w:rFonts w:hint="eastAsia" w:ascii="Times New Roman" w:hAnsi="Times New Roman"/>
          <w:b w:val="0"/>
          <w:bCs w:val="0"/>
          <w:color w:val="auto"/>
          <w:highlight w:val="none"/>
          <w:lang w:eastAsia="zh-CN"/>
        </w:rPr>
        <w:t>。</w:t>
      </w:r>
      <w:r>
        <w:rPr>
          <w:rFonts w:hint="default" w:ascii="Times New Roman" w:hAnsi="Times New Roman"/>
          <w:b w:val="0"/>
          <w:bCs w:val="0"/>
          <w:color w:val="auto"/>
          <w:highlight w:val="none"/>
        </w:rPr>
        <w:t>1958年，狮头鹅荣获周恩来总理亲自签字授予的国务院奖状，2018</w:t>
      </w:r>
      <w:r>
        <w:rPr>
          <w:rFonts w:hint="eastAsia" w:ascii="Times New Roman" w:hAnsi="Times New Roman"/>
          <w:b w:val="0"/>
          <w:bCs w:val="0"/>
          <w:color w:val="auto"/>
          <w:highlight w:val="none"/>
          <w:lang w:eastAsia="zh-CN"/>
        </w:rPr>
        <w:t>—</w:t>
      </w:r>
      <w:r>
        <w:rPr>
          <w:rFonts w:hint="default" w:ascii="Times New Roman" w:hAnsi="Times New Roman"/>
          <w:b w:val="0"/>
          <w:bCs w:val="0"/>
          <w:color w:val="auto"/>
          <w:highlight w:val="none"/>
        </w:rPr>
        <w:t>202</w:t>
      </w:r>
      <w:r>
        <w:rPr>
          <w:rFonts w:hint="eastAsia" w:ascii="Times New Roman" w:hAnsi="Times New Roman"/>
          <w:b w:val="0"/>
          <w:bCs w:val="0"/>
          <w:color w:val="auto"/>
          <w:highlight w:val="none"/>
          <w:lang w:val="en-US" w:eastAsia="zh-CN"/>
        </w:rPr>
        <w:t>4</w:t>
      </w:r>
      <w:r>
        <w:rPr>
          <w:rFonts w:hint="default" w:ascii="Times New Roman" w:hAnsi="Times New Roman"/>
          <w:b w:val="0"/>
          <w:bCs w:val="0"/>
          <w:color w:val="auto"/>
          <w:highlight w:val="none"/>
        </w:rPr>
        <w:t>年连续</w:t>
      </w:r>
      <w:r>
        <w:rPr>
          <w:rFonts w:hint="eastAsia" w:ascii="Times New Roman" w:hAnsi="Times New Roman"/>
          <w:b w:val="0"/>
          <w:bCs w:val="0"/>
          <w:color w:val="auto"/>
          <w:highlight w:val="none"/>
          <w:lang w:val="en-US" w:eastAsia="zh-CN"/>
        </w:rPr>
        <w:t>7</w:t>
      </w:r>
      <w:r>
        <w:rPr>
          <w:rFonts w:hint="default" w:ascii="Times New Roman" w:hAnsi="Times New Roman"/>
          <w:b w:val="0"/>
          <w:bCs w:val="0"/>
          <w:color w:val="auto"/>
          <w:highlight w:val="none"/>
        </w:rPr>
        <w:t>年</w:t>
      </w:r>
      <w:r>
        <w:rPr>
          <w:rFonts w:hint="eastAsia" w:ascii="Times New Roman" w:hAnsi="Times New Roman"/>
          <w:b w:val="0"/>
          <w:bCs w:val="0"/>
          <w:color w:val="auto"/>
          <w:highlight w:val="none"/>
          <w:lang w:val="en-US" w:eastAsia="zh-CN"/>
        </w:rPr>
        <w:t>成为</w:t>
      </w:r>
      <w:r>
        <w:rPr>
          <w:rFonts w:hint="default" w:ascii="Times New Roman" w:hAnsi="Times New Roman"/>
          <w:b w:val="0"/>
          <w:bCs w:val="0"/>
          <w:color w:val="auto"/>
          <w:highlight w:val="none"/>
        </w:rPr>
        <w:t>广东省农业主导主推品种，2018年被评为“中国菜”之广东十大经典名菜。</w:t>
      </w:r>
      <w:r>
        <w:rPr>
          <w:rFonts w:hint="default" w:ascii="Times New Roman" w:hAnsi="Times New Roman"/>
          <w:color w:val="auto"/>
          <w:highlight w:val="none"/>
        </w:rPr>
        <w:t>澄海区委区政府高度重视狮头鹅产业的发展，将其作为澄海区重点扶持发展产业之一，</w:t>
      </w:r>
      <w:r>
        <w:rPr>
          <w:rFonts w:hint="default" w:ascii="Times New Roman" w:hAnsi="Times New Roman"/>
          <w:b w:val="0"/>
          <w:bCs w:val="0"/>
          <w:color w:val="auto"/>
          <w:highlight w:val="none"/>
        </w:rPr>
        <w:t>已列入澄海区农业农村现代化“十四五”规划</w:t>
      </w:r>
      <w:r>
        <w:rPr>
          <w:rFonts w:hint="default" w:ascii="Times New Roman" w:hAnsi="Times New Roman"/>
          <w:color w:val="auto"/>
          <w:highlight w:val="none"/>
        </w:rPr>
        <w:t>。</w:t>
      </w:r>
      <w:r>
        <w:rPr>
          <w:rFonts w:hint="eastAsia" w:ascii="Times New Roman" w:hAnsi="Times New Roman"/>
          <w:color w:val="auto"/>
          <w:highlight w:val="none"/>
          <w:lang w:val="en-US" w:eastAsia="zh-CN"/>
        </w:rPr>
        <w:t>2023年，产业园内狮头鹅种鹅存栏量达到120万只，年供鹅苗量1940万只，年出栏量达到900万只，产业园内狮头鹅主导产业产值为95.49亿元。</w:t>
      </w:r>
    </w:p>
    <w:p w14:paraId="2F32C256">
      <w:pPr>
        <w:pStyle w:val="3"/>
        <w:keepNext/>
        <w:pageBreakBefore w:val="0"/>
        <w:spacing w:before="0" w:beforeLines="-2147483648" w:after="0" w:afterLines="-2147483648" w:line="360" w:lineRule="auto"/>
        <w:ind w:firstLine="640" w:firstLineChars="200"/>
        <w:jc w:val="both"/>
        <w:rPr>
          <w:rFonts w:hint="eastAsia" w:ascii="Times New Roman" w:hAnsi="Times New Roman" w:cs="Times New Roman"/>
          <w:b w:val="0"/>
          <w:bCs/>
          <w:color w:val="auto"/>
          <w:szCs w:val="44"/>
          <w:highlight w:val="none"/>
          <w:lang w:val="en-US" w:eastAsia="zh-CN"/>
        </w:rPr>
      </w:pPr>
      <w:bookmarkStart w:id="4" w:name="_Toc4220"/>
      <w:r>
        <w:rPr>
          <w:rFonts w:hint="eastAsia" w:ascii="Times New Roman" w:hAnsi="Times New Roman" w:cs="Times New Roman"/>
          <w:b w:val="0"/>
          <w:bCs/>
          <w:color w:val="auto"/>
          <w:szCs w:val="44"/>
          <w:highlight w:val="none"/>
          <w:lang w:val="en-US" w:eastAsia="zh-CN"/>
        </w:rPr>
        <w:t>二、建设条件</w:t>
      </w:r>
      <w:bookmarkEnd w:id="4"/>
    </w:p>
    <w:p w14:paraId="1DA349A9">
      <w:pPr>
        <w:pStyle w:val="4"/>
        <w:spacing w:line="590" w:lineRule="exact"/>
        <w:ind w:firstLine="640"/>
        <w:outlineLvl w:val="1"/>
        <w:rPr>
          <w:rFonts w:hint="eastAsia" w:ascii="Times New Roman" w:hAnsi="Times New Roman" w:eastAsia="楷体_GB2312" w:cs="楷体_GB2312"/>
          <w:b/>
          <w:bCs w:val="0"/>
          <w:color w:val="auto"/>
          <w:highlight w:val="none"/>
          <w:lang w:val="en-US" w:eastAsia="zh-CN"/>
        </w:rPr>
      </w:pPr>
      <w:bookmarkStart w:id="5" w:name="_Toc32503"/>
      <w:r>
        <w:rPr>
          <w:rFonts w:hint="eastAsia" w:ascii="Times New Roman" w:hAnsi="Times New Roman" w:eastAsia="楷体_GB2312" w:cs="楷体_GB2312"/>
          <w:b/>
          <w:bCs w:val="0"/>
          <w:color w:val="auto"/>
          <w:highlight w:val="none"/>
          <w:lang w:val="en-US" w:eastAsia="zh-CN"/>
        </w:rPr>
        <w:t>（一）建设优势</w:t>
      </w:r>
      <w:bookmarkEnd w:id="5"/>
    </w:p>
    <w:p w14:paraId="5DC25886">
      <w:pPr>
        <w:pStyle w:val="4"/>
        <w:rPr>
          <w:rFonts w:hint="eastAsia" w:ascii="Times New Roman" w:hAnsi="Times New Roman" w:cs="仿宋_GB2312"/>
          <w:b/>
          <w:bCs w:val="0"/>
          <w:color w:val="auto"/>
          <w:szCs w:val="32"/>
          <w:highlight w:val="none"/>
          <w:lang w:val="en-US" w:eastAsia="zh-CN"/>
        </w:rPr>
      </w:pPr>
      <w:r>
        <w:rPr>
          <w:rFonts w:hint="eastAsia" w:ascii="Times New Roman" w:hAnsi="Times New Roman" w:eastAsia="仿宋_GB2312" w:cs="仿宋_GB2312"/>
          <w:b/>
          <w:bCs w:val="0"/>
          <w:color w:val="auto"/>
          <w:szCs w:val="32"/>
          <w:highlight w:val="none"/>
          <w:lang w:val="en-US" w:eastAsia="zh-CN"/>
        </w:rPr>
        <w:t>1.</w:t>
      </w:r>
      <w:r>
        <w:rPr>
          <w:rFonts w:hint="eastAsia" w:ascii="Times New Roman" w:hAnsi="Times New Roman" w:cs="仿宋_GB2312"/>
          <w:b/>
          <w:bCs w:val="0"/>
          <w:color w:val="auto"/>
          <w:sz w:val="32"/>
          <w:szCs w:val="32"/>
          <w:highlight w:val="none"/>
          <w:lang w:val="en-US" w:eastAsia="zh-CN"/>
        </w:rPr>
        <w:t>澄海狮头鹅具有“大体型、高价值、深底蕴、特色烹饪”的特点</w:t>
      </w:r>
    </w:p>
    <w:p w14:paraId="1E9EA1F6">
      <w:pPr>
        <w:pStyle w:val="14"/>
        <w:pageBreakBefore w:val="0"/>
        <w:kinsoku/>
        <w:overflowPunct/>
        <w:topLinePunct w:val="0"/>
        <w:autoSpaceDE/>
        <w:autoSpaceDN/>
        <w:bidi w:val="0"/>
        <w:adjustRightInd/>
        <w:snapToGrid/>
        <w:spacing w:line="590" w:lineRule="exact"/>
        <w:rPr>
          <w:rFonts w:hint="eastAsia" w:ascii="Times New Roman" w:hAnsi="Times New Roman"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澄海狮头鹅为鹅中劳斯莱斯，具有“大体型、高价值、深底蕴、特色烹饪”的特点，即只有澄海才能培育出的世界上体型最大的鹅种（最高达39.1斤）、体型最大的鹅蛋（比普通鹅蛋重50</w:t>
      </w:r>
      <w:r>
        <w:rPr>
          <w:rFonts w:hint="eastAsia" w:ascii="Times New Roman" w:hAnsi="Times New Roman" w:cs="仿宋_GB2312"/>
          <w:color w:val="auto"/>
          <w:sz w:val="32"/>
          <w:szCs w:val="32"/>
          <w:highlight w:val="none"/>
          <w:lang w:val="en-US" w:eastAsia="zh-CN"/>
        </w:rPr>
        <w:t>—</w:t>
      </w:r>
      <w:r>
        <w:rPr>
          <w:rFonts w:hint="eastAsia" w:ascii="Times New Roman" w:hAnsi="Times New Roman" w:eastAsia="仿宋_GB2312" w:cs="仿宋_GB2312"/>
          <w:color w:val="auto"/>
          <w:sz w:val="32"/>
          <w:szCs w:val="32"/>
          <w:highlight w:val="none"/>
          <w:lang w:val="en-US" w:eastAsia="zh-CN"/>
        </w:rPr>
        <w:t>70g），世界上价值最高的鹅（3年以上狮头鹅价值1500元以上），世界上文化底蕴最深厚的鹅（拥有300多年的养殖历史），世界上最有特色的烹饪做法（潮汕卤味是八大菜系中唯一使用的烹饪方式）。</w:t>
      </w:r>
      <w:r>
        <w:rPr>
          <w:rFonts w:hint="eastAsia" w:ascii="Times New Roman" w:hAnsi="Times New Roman" w:cs="仿宋_GB2312"/>
          <w:color w:val="auto"/>
          <w:sz w:val="32"/>
          <w:szCs w:val="32"/>
          <w:highlight w:val="none"/>
          <w:lang w:val="en-US" w:eastAsia="zh-CN"/>
        </w:rPr>
        <w:t>具体表现为：</w:t>
      </w:r>
    </w:p>
    <w:p w14:paraId="308BC20E">
      <w:pPr>
        <w:pageBreakBefore w:val="0"/>
        <w:kinsoku/>
        <w:overflowPunct/>
        <w:topLinePunct w:val="0"/>
        <w:autoSpaceDE/>
        <w:autoSpaceDN/>
        <w:bidi w:val="0"/>
        <w:adjustRightInd/>
        <w:snapToGrid/>
        <w:spacing w:line="590" w:lineRule="exact"/>
        <w:rPr>
          <w:rFonts w:hint="eastAsia" w:ascii="Times New Roman" w:hAnsi="Times New Roman"/>
          <w:b/>
          <w:bCs/>
          <w:color w:val="auto"/>
          <w:highlight w:val="none"/>
          <w:lang w:val="en-US" w:eastAsia="zh-CN"/>
        </w:rPr>
      </w:pPr>
      <w:r>
        <w:rPr>
          <w:rFonts w:hint="eastAsia" w:ascii="Times New Roman" w:hAnsi="Times New Roman"/>
          <w:b/>
          <w:bCs/>
          <w:color w:val="auto"/>
          <w:highlight w:val="none"/>
          <w:lang w:val="en-US" w:eastAsia="zh-CN"/>
        </w:rPr>
        <w:t>1.</w:t>
      </w:r>
      <w:r>
        <w:rPr>
          <w:rFonts w:hint="default" w:ascii="Times New Roman" w:hAnsi="Times New Roman"/>
          <w:b/>
          <w:bCs/>
          <w:color w:val="auto"/>
          <w:highlight w:val="none"/>
          <w:lang w:val="en-US" w:eastAsia="zh-CN"/>
        </w:rPr>
        <w:t>世界上体型最大的鹅</w:t>
      </w:r>
      <w:r>
        <w:rPr>
          <w:rFonts w:hint="eastAsia" w:ascii="Times New Roman" w:hAnsi="Times New Roman"/>
          <w:b/>
          <w:bCs/>
          <w:color w:val="auto"/>
          <w:highlight w:val="none"/>
          <w:lang w:val="en-US" w:eastAsia="zh-CN"/>
        </w:rPr>
        <w:t>。</w:t>
      </w:r>
    </w:p>
    <w:p w14:paraId="1712C41C">
      <w:pPr>
        <w:pageBreakBefore w:val="0"/>
        <w:kinsoku/>
        <w:overflowPunct/>
        <w:topLinePunct w:val="0"/>
        <w:autoSpaceDE/>
        <w:autoSpaceDN/>
        <w:bidi w:val="0"/>
        <w:adjustRightInd/>
        <w:snapToGrid/>
        <w:spacing w:line="590" w:lineRule="exact"/>
        <w:rPr>
          <w:rFonts w:hint="default" w:ascii="Times New Roman" w:hAnsi="Times New Roman"/>
          <w:color w:val="auto"/>
          <w:highlight w:val="none"/>
          <w:lang w:val="en-US" w:eastAsia="zh-CN"/>
        </w:rPr>
      </w:pPr>
      <w:r>
        <w:rPr>
          <w:rFonts w:hint="eastAsia" w:ascii="Times New Roman" w:hAnsi="Times New Roman"/>
          <w:b w:val="0"/>
          <w:bCs w:val="0"/>
          <w:color w:val="auto"/>
          <w:highlight w:val="none"/>
          <w:lang w:val="en-US" w:eastAsia="zh-CN"/>
        </w:rPr>
        <w:t>狮头鹅是我国稀有的大型鹅种，也是世界上体型最大鹅品种。</w:t>
      </w:r>
      <w:r>
        <w:rPr>
          <w:rFonts w:hint="default" w:ascii="Times New Roman" w:hAnsi="Times New Roman"/>
          <w:color w:val="auto"/>
          <w:highlight w:val="none"/>
          <w:lang w:val="en-US" w:eastAsia="zh-CN"/>
        </w:rPr>
        <w:t>2021年最大狮头鹅王评选活动中最重达39.1斤，</w:t>
      </w:r>
      <w:r>
        <w:rPr>
          <w:rFonts w:hint="eastAsia" w:ascii="Times New Roman" w:hAnsi="Times New Roman"/>
          <w:color w:val="auto"/>
          <w:highlight w:val="none"/>
          <w:lang w:val="en-US" w:eastAsia="zh-CN"/>
        </w:rPr>
        <w:t>相当</w:t>
      </w:r>
      <w:r>
        <w:rPr>
          <w:rFonts w:hint="default" w:ascii="Times New Roman" w:hAnsi="Times New Roman"/>
          <w:color w:val="auto"/>
          <w:highlight w:val="none"/>
          <w:lang w:val="en-US" w:eastAsia="zh-CN"/>
        </w:rPr>
        <w:t>于一名5-6岁儿童的体重，是普通鹅的4倍之多，享有“世界鹅王”的美誉。</w:t>
      </w:r>
      <w:r>
        <w:rPr>
          <w:rFonts w:hint="eastAsia" w:ascii="Times New Roman" w:hAnsi="Times New Roman"/>
          <w:color w:val="auto"/>
          <w:highlight w:val="none"/>
          <w:lang w:val="en-US" w:eastAsia="zh-CN"/>
        </w:rPr>
        <w:t>90日龄狮头鹅肉鹅平均体重为6.5—7.5Kg，是全国著名5个鹅种（太湖鹅、四川白鹅、三花鹅、五龙鹅、皖西白鹅）体重的2倍。</w:t>
      </w:r>
    </w:p>
    <w:p w14:paraId="09F96EA6">
      <w:pPr>
        <w:pageBreakBefore w:val="0"/>
        <w:kinsoku/>
        <w:overflowPunct/>
        <w:topLinePunct w:val="0"/>
        <w:autoSpaceDE/>
        <w:autoSpaceDN/>
        <w:bidi w:val="0"/>
        <w:adjustRightInd/>
        <w:snapToGrid/>
        <w:spacing w:line="590" w:lineRule="exact"/>
        <w:ind w:firstLine="0" w:firstLineChars="0"/>
        <w:rPr>
          <w:rFonts w:hint="default" w:ascii="Times New Roman" w:hAnsi="Times New Roman" w:eastAsia="仿宋_GB2312" w:cs="Times New Roman"/>
          <w:b w:val="0"/>
          <w:bCs w:val="0"/>
          <w:color w:val="auto"/>
          <w:sz w:val="32"/>
          <w:highlight w:val="none"/>
        </w:rPr>
      </w:pPr>
    </w:p>
    <w:p w14:paraId="2B73A2D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90日龄狮头鹅与全国著名5个鹅种体重及体尺对比表</w:t>
      </w:r>
    </w:p>
    <w:tbl>
      <w:tblPr>
        <w:tblStyle w:val="25"/>
        <w:tblW w:w="8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5"/>
        <w:gridCol w:w="1378"/>
        <w:gridCol w:w="1050"/>
        <w:gridCol w:w="1138"/>
        <w:gridCol w:w="1139"/>
        <w:gridCol w:w="1228"/>
        <w:gridCol w:w="1228"/>
      </w:tblGrid>
      <w:tr w14:paraId="74CF6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1815" w:type="dxa"/>
            <w:vAlign w:val="center"/>
          </w:tcPr>
          <w:p w14:paraId="41CC2C43">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b/>
                <w:bCs/>
                <w:color w:val="auto"/>
                <w:sz w:val="21"/>
                <w:szCs w:val="21"/>
                <w:highlight w:val="none"/>
                <w:vertAlign w:val="baseline"/>
                <w:lang w:val="en-US" w:eastAsia="zh-CN"/>
              </w:rPr>
            </w:pPr>
            <w:r>
              <w:rPr>
                <w:rFonts w:hint="eastAsia" w:ascii="Times New Roman" w:hAnsi="Times New Roman" w:eastAsia="仿宋_GB2312" w:cs="仿宋_GB2312"/>
                <w:b/>
                <w:bCs/>
                <w:color w:val="auto"/>
                <w:sz w:val="21"/>
                <w:szCs w:val="21"/>
                <w:highlight w:val="none"/>
                <w:vertAlign w:val="baseline"/>
                <w:lang w:val="en-US" w:eastAsia="zh-CN"/>
              </w:rPr>
              <w:t>指标</w:t>
            </w:r>
          </w:p>
        </w:tc>
        <w:tc>
          <w:tcPr>
            <w:tcW w:w="1378" w:type="dxa"/>
            <w:vAlign w:val="center"/>
          </w:tcPr>
          <w:p w14:paraId="58526A07">
            <w:pPr>
              <w:pageBreakBefore w:val="0"/>
              <w:kinsoku/>
              <w:overflowPunct/>
              <w:topLinePunct w:val="0"/>
              <w:autoSpaceDE/>
              <w:autoSpaceDN/>
              <w:bidi w:val="0"/>
              <w:adjustRightInd/>
              <w:snapToGrid/>
              <w:spacing w:line="590" w:lineRule="exact"/>
              <w:ind w:firstLine="0" w:firstLineChars="0"/>
              <w:jc w:val="center"/>
              <w:rPr>
                <w:rFonts w:hint="eastAsia" w:ascii="Times New Roman" w:hAnsi="Times New Roman" w:eastAsia="仿宋_GB2312" w:cs="仿宋_GB2312"/>
                <w:b/>
                <w:bCs/>
                <w:color w:val="auto"/>
                <w:sz w:val="21"/>
                <w:szCs w:val="21"/>
                <w:highlight w:val="none"/>
                <w:vertAlign w:val="baseline"/>
                <w:lang w:val="en-US" w:eastAsia="zh-CN"/>
              </w:rPr>
            </w:pPr>
            <w:r>
              <w:rPr>
                <w:rFonts w:hint="eastAsia" w:ascii="Times New Roman" w:hAnsi="Times New Roman" w:eastAsia="仿宋_GB2312" w:cs="仿宋_GB2312"/>
                <w:b/>
                <w:bCs/>
                <w:color w:val="auto"/>
                <w:sz w:val="21"/>
                <w:szCs w:val="21"/>
                <w:highlight w:val="none"/>
                <w:vertAlign w:val="baseline"/>
                <w:lang w:val="en-US" w:eastAsia="zh-CN"/>
              </w:rPr>
              <w:t>澄海狮头鹅</w:t>
            </w:r>
          </w:p>
        </w:tc>
        <w:tc>
          <w:tcPr>
            <w:tcW w:w="1050" w:type="dxa"/>
            <w:vAlign w:val="center"/>
          </w:tcPr>
          <w:p w14:paraId="6B0BEA17">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b/>
                <w:bCs/>
                <w:color w:val="auto"/>
                <w:kern w:val="2"/>
                <w:sz w:val="21"/>
                <w:szCs w:val="21"/>
                <w:highlight w:val="none"/>
                <w:vertAlign w:val="baseline"/>
                <w:lang w:val="en-US" w:eastAsia="zh-CN" w:bidi="ar-SA"/>
              </w:rPr>
            </w:pPr>
            <w:r>
              <w:rPr>
                <w:rFonts w:hint="eastAsia" w:ascii="Times New Roman" w:hAnsi="Times New Roman" w:eastAsia="仿宋_GB2312" w:cs="仿宋_GB2312"/>
                <w:b/>
                <w:bCs/>
                <w:color w:val="auto"/>
                <w:kern w:val="2"/>
                <w:sz w:val="21"/>
                <w:szCs w:val="21"/>
                <w:highlight w:val="none"/>
                <w:vertAlign w:val="baseline"/>
                <w:lang w:val="en-US" w:eastAsia="zh-CN" w:bidi="ar-SA"/>
              </w:rPr>
              <w:t>太湖鹅</w:t>
            </w:r>
          </w:p>
        </w:tc>
        <w:tc>
          <w:tcPr>
            <w:tcW w:w="1138" w:type="dxa"/>
            <w:vAlign w:val="center"/>
          </w:tcPr>
          <w:p w14:paraId="6186C47F">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b/>
                <w:bCs/>
                <w:color w:val="auto"/>
                <w:kern w:val="2"/>
                <w:sz w:val="21"/>
                <w:szCs w:val="21"/>
                <w:highlight w:val="none"/>
                <w:vertAlign w:val="baseline"/>
                <w:lang w:val="en-US" w:eastAsia="zh-CN" w:bidi="ar-SA"/>
              </w:rPr>
            </w:pPr>
            <w:r>
              <w:rPr>
                <w:rFonts w:hint="eastAsia" w:ascii="Times New Roman" w:hAnsi="Times New Roman" w:eastAsia="仿宋_GB2312" w:cs="仿宋_GB2312"/>
                <w:b/>
                <w:bCs/>
                <w:color w:val="auto"/>
                <w:sz w:val="21"/>
                <w:szCs w:val="21"/>
                <w:highlight w:val="none"/>
                <w:vertAlign w:val="baseline"/>
                <w:lang w:val="en-US" w:eastAsia="zh-CN"/>
              </w:rPr>
              <w:t>四川白鹅</w:t>
            </w:r>
          </w:p>
        </w:tc>
        <w:tc>
          <w:tcPr>
            <w:tcW w:w="1139" w:type="dxa"/>
            <w:vAlign w:val="center"/>
          </w:tcPr>
          <w:p w14:paraId="04DDEB6A">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b/>
                <w:bCs/>
                <w:color w:val="auto"/>
                <w:sz w:val="21"/>
                <w:szCs w:val="21"/>
                <w:highlight w:val="none"/>
                <w:vertAlign w:val="baseline"/>
                <w:lang w:val="en-US" w:eastAsia="zh-CN"/>
              </w:rPr>
            </w:pPr>
            <w:r>
              <w:rPr>
                <w:rFonts w:hint="eastAsia" w:ascii="Times New Roman" w:hAnsi="Times New Roman" w:eastAsia="仿宋_GB2312" w:cs="仿宋_GB2312"/>
                <w:b/>
                <w:bCs/>
                <w:color w:val="auto"/>
                <w:sz w:val="21"/>
                <w:szCs w:val="21"/>
                <w:highlight w:val="none"/>
                <w:vertAlign w:val="baseline"/>
                <w:lang w:val="en-US" w:eastAsia="zh-CN"/>
              </w:rPr>
              <w:t>三花鹅</w:t>
            </w:r>
          </w:p>
        </w:tc>
        <w:tc>
          <w:tcPr>
            <w:tcW w:w="1228" w:type="dxa"/>
            <w:vAlign w:val="center"/>
          </w:tcPr>
          <w:p w14:paraId="5BDCAEEF">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b/>
                <w:bCs/>
                <w:color w:val="auto"/>
                <w:sz w:val="21"/>
                <w:szCs w:val="21"/>
                <w:highlight w:val="none"/>
                <w:vertAlign w:val="baseline"/>
                <w:lang w:val="en-US" w:eastAsia="zh-CN"/>
              </w:rPr>
            </w:pPr>
            <w:r>
              <w:rPr>
                <w:rFonts w:hint="eastAsia" w:ascii="Times New Roman" w:hAnsi="Times New Roman" w:eastAsia="仿宋_GB2312" w:cs="仿宋_GB2312"/>
                <w:b/>
                <w:bCs/>
                <w:color w:val="auto"/>
                <w:sz w:val="21"/>
                <w:szCs w:val="21"/>
                <w:highlight w:val="none"/>
                <w:vertAlign w:val="baseline"/>
                <w:lang w:val="en-US" w:eastAsia="zh-CN"/>
              </w:rPr>
              <w:t>五龙鹅</w:t>
            </w:r>
          </w:p>
        </w:tc>
        <w:tc>
          <w:tcPr>
            <w:tcW w:w="1228" w:type="dxa"/>
            <w:vAlign w:val="center"/>
          </w:tcPr>
          <w:p w14:paraId="197284F1">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b/>
                <w:bCs/>
                <w:color w:val="auto"/>
                <w:sz w:val="21"/>
                <w:szCs w:val="21"/>
                <w:highlight w:val="none"/>
                <w:vertAlign w:val="baseline"/>
                <w:lang w:val="en-US" w:eastAsia="zh-CN"/>
              </w:rPr>
            </w:pPr>
            <w:r>
              <w:rPr>
                <w:rFonts w:hint="eastAsia" w:ascii="Times New Roman" w:hAnsi="Times New Roman" w:eastAsia="仿宋_GB2312" w:cs="仿宋_GB2312"/>
                <w:b/>
                <w:bCs/>
                <w:color w:val="auto"/>
                <w:sz w:val="21"/>
                <w:szCs w:val="21"/>
                <w:highlight w:val="none"/>
                <w:vertAlign w:val="baseline"/>
                <w:lang w:val="en-US" w:eastAsia="zh-CN"/>
              </w:rPr>
              <w:t>皖西白鹅</w:t>
            </w:r>
          </w:p>
        </w:tc>
      </w:tr>
      <w:tr w14:paraId="40961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15" w:type="dxa"/>
            <w:vAlign w:val="center"/>
          </w:tcPr>
          <w:p w14:paraId="7FDC2A84">
            <w:pPr>
              <w:pageBreakBefore w:val="0"/>
              <w:kinsoku/>
              <w:overflowPunct/>
              <w:topLinePunct w:val="0"/>
              <w:autoSpaceDE/>
              <w:autoSpaceDN/>
              <w:bidi w:val="0"/>
              <w:adjustRightInd/>
              <w:snapToGrid/>
              <w:spacing w:line="590" w:lineRule="exact"/>
              <w:ind w:firstLine="0" w:firstLineChars="0"/>
              <w:jc w:val="center"/>
              <w:rPr>
                <w:rFonts w:hint="eastAsia"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体重（kg）</w:t>
            </w:r>
          </w:p>
        </w:tc>
        <w:tc>
          <w:tcPr>
            <w:tcW w:w="1378" w:type="dxa"/>
            <w:vAlign w:val="center"/>
          </w:tcPr>
          <w:p w14:paraId="03153CF1">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6.5-7.5</w:t>
            </w:r>
          </w:p>
        </w:tc>
        <w:tc>
          <w:tcPr>
            <w:tcW w:w="1050" w:type="dxa"/>
            <w:vAlign w:val="center"/>
          </w:tcPr>
          <w:p w14:paraId="2E7D526F">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kern w:val="2"/>
                <w:sz w:val="21"/>
                <w:szCs w:val="21"/>
                <w:highlight w:val="none"/>
                <w:vertAlign w:val="baseline"/>
                <w:lang w:val="en-US" w:eastAsia="zh-CN" w:bidi="ar-SA"/>
              </w:rPr>
            </w:pPr>
            <w:r>
              <w:rPr>
                <w:rFonts w:hint="eastAsia" w:ascii="Times New Roman" w:hAnsi="Times New Roman" w:eastAsia="仿宋_GB2312" w:cs="仿宋_GB2312"/>
                <w:color w:val="auto"/>
                <w:kern w:val="2"/>
                <w:sz w:val="21"/>
                <w:szCs w:val="21"/>
                <w:highlight w:val="none"/>
                <w:vertAlign w:val="baseline"/>
                <w:lang w:val="en-US" w:eastAsia="zh-CN" w:bidi="ar-SA"/>
              </w:rPr>
              <w:t>2.8-3.0</w:t>
            </w:r>
          </w:p>
        </w:tc>
        <w:tc>
          <w:tcPr>
            <w:tcW w:w="1138" w:type="dxa"/>
            <w:vAlign w:val="center"/>
          </w:tcPr>
          <w:p w14:paraId="23E2834C">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kern w:val="2"/>
                <w:sz w:val="21"/>
                <w:szCs w:val="21"/>
                <w:highlight w:val="none"/>
                <w:vertAlign w:val="baseline"/>
                <w:lang w:val="en-US" w:eastAsia="zh-CN" w:bidi="ar-SA"/>
              </w:rPr>
            </w:pPr>
            <w:r>
              <w:rPr>
                <w:rFonts w:hint="eastAsia" w:ascii="Times New Roman" w:hAnsi="Times New Roman" w:eastAsia="仿宋_GB2312" w:cs="仿宋_GB2312"/>
                <w:color w:val="auto"/>
                <w:kern w:val="2"/>
                <w:sz w:val="21"/>
                <w:szCs w:val="21"/>
                <w:highlight w:val="none"/>
                <w:vertAlign w:val="baseline"/>
                <w:lang w:val="en-US" w:eastAsia="zh-CN" w:bidi="ar-SA"/>
              </w:rPr>
              <w:t>3.0-3.5</w:t>
            </w:r>
          </w:p>
        </w:tc>
        <w:tc>
          <w:tcPr>
            <w:tcW w:w="1139" w:type="dxa"/>
            <w:vAlign w:val="center"/>
          </w:tcPr>
          <w:p w14:paraId="0E18DDBB">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3.0-3.2</w:t>
            </w:r>
          </w:p>
        </w:tc>
        <w:tc>
          <w:tcPr>
            <w:tcW w:w="1228" w:type="dxa"/>
            <w:vAlign w:val="center"/>
          </w:tcPr>
          <w:p w14:paraId="7619DC35">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3.0-3.2</w:t>
            </w:r>
          </w:p>
        </w:tc>
        <w:tc>
          <w:tcPr>
            <w:tcW w:w="1228" w:type="dxa"/>
            <w:vAlign w:val="center"/>
          </w:tcPr>
          <w:p w14:paraId="57EAAA5F">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3.5-4.0</w:t>
            </w:r>
          </w:p>
        </w:tc>
      </w:tr>
      <w:tr w14:paraId="42A9A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815" w:type="dxa"/>
            <w:vAlign w:val="center"/>
          </w:tcPr>
          <w:p w14:paraId="33D96410">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体斜长（cm）</w:t>
            </w:r>
          </w:p>
        </w:tc>
        <w:tc>
          <w:tcPr>
            <w:tcW w:w="1378" w:type="dxa"/>
            <w:vAlign w:val="center"/>
          </w:tcPr>
          <w:p w14:paraId="39E50872">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37.0-38.0</w:t>
            </w:r>
          </w:p>
        </w:tc>
        <w:tc>
          <w:tcPr>
            <w:tcW w:w="1050" w:type="dxa"/>
            <w:vAlign w:val="center"/>
          </w:tcPr>
          <w:p w14:paraId="26E7B4DE">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kern w:val="2"/>
                <w:sz w:val="21"/>
                <w:szCs w:val="21"/>
                <w:highlight w:val="none"/>
                <w:vertAlign w:val="baseline"/>
                <w:lang w:val="en-US" w:eastAsia="zh-CN" w:bidi="ar-SA"/>
              </w:rPr>
            </w:pPr>
            <w:r>
              <w:rPr>
                <w:rFonts w:hint="eastAsia" w:ascii="Times New Roman" w:hAnsi="Times New Roman" w:eastAsia="仿宋_GB2312" w:cs="仿宋_GB2312"/>
                <w:color w:val="auto"/>
                <w:kern w:val="2"/>
                <w:sz w:val="21"/>
                <w:szCs w:val="21"/>
                <w:highlight w:val="none"/>
                <w:vertAlign w:val="baseline"/>
                <w:lang w:val="en-US" w:eastAsia="zh-CN" w:bidi="ar-SA"/>
              </w:rPr>
              <w:t>25.0-26.0</w:t>
            </w:r>
          </w:p>
        </w:tc>
        <w:tc>
          <w:tcPr>
            <w:tcW w:w="1138" w:type="dxa"/>
            <w:vAlign w:val="center"/>
          </w:tcPr>
          <w:p w14:paraId="4E966CF9">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26.0-29.0</w:t>
            </w:r>
          </w:p>
        </w:tc>
        <w:tc>
          <w:tcPr>
            <w:tcW w:w="1139" w:type="dxa"/>
            <w:vAlign w:val="center"/>
          </w:tcPr>
          <w:p w14:paraId="75A2775F">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26.5-28.0</w:t>
            </w:r>
          </w:p>
        </w:tc>
        <w:tc>
          <w:tcPr>
            <w:tcW w:w="1228" w:type="dxa"/>
            <w:vAlign w:val="center"/>
          </w:tcPr>
          <w:p w14:paraId="60298577">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25.0-27.0</w:t>
            </w:r>
          </w:p>
        </w:tc>
        <w:tc>
          <w:tcPr>
            <w:tcW w:w="1228" w:type="dxa"/>
            <w:vAlign w:val="center"/>
          </w:tcPr>
          <w:p w14:paraId="1E71C126">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27.0-30.0</w:t>
            </w:r>
          </w:p>
        </w:tc>
      </w:tr>
      <w:tr w14:paraId="2B2B4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15" w:type="dxa"/>
            <w:vAlign w:val="center"/>
          </w:tcPr>
          <w:p w14:paraId="0CE3C002">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龙骨长（cm）</w:t>
            </w:r>
          </w:p>
        </w:tc>
        <w:tc>
          <w:tcPr>
            <w:tcW w:w="1378" w:type="dxa"/>
            <w:vAlign w:val="center"/>
          </w:tcPr>
          <w:p w14:paraId="7A687CBB">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17.0-21.0</w:t>
            </w:r>
          </w:p>
        </w:tc>
        <w:tc>
          <w:tcPr>
            <w:tcW w:w="1050" w:type="dxa"/>
            <w:vAlign w:val="center"/>
          </w:tcPr>
          <w:p w14:paraId="41B1808C">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kern w:val="2"/>
                <w:sz w:val="21"/>
                <w:szCs w:val="21"/>
                <w:highlight w:val="none"/>
                <w:vertAlign w:val="baseline"/>
                <w:lang w:val="en-US" w:eastAsia="zh-CN" w:bidi="ar-SA"/>
              </w:rPr>
            </w:pPr>
            <w:r>
              <w:rPr>
                <w:rFonts w:hint="eastAsia" w:ascii="Times New Roman" w:hAnsi="Times New Roman" w:eastAsia="仿宋_GB2312" w:cs="仿宋_GB2312"/>
                <w:color w:val="auto"/>
                <w:kern w:val="2"/>
                <w:sz w:val="21"/>
                <w:szCs w:val="21"/>
                <w:highlight w:val="none"/>
                <w:vertAlign w:val="baseline"/>
                <w:lang w:val="en-US" w:eastAsia="zh-CN" w:bidi="ar-SA"/>
              </w:rPr>
              <w:t>13.0-15.0</w:t>
            </w:r>
          </w:p>
        </w:tc>
        <w:tc>
          <w:tcPr>
            <w:tcW w:w="1138" w:type="dxa"/>
            <w:vAlign w:val="center"/>
          </w:tcPr>
          <w:p w14:paraId="03E3A367">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14.0-15.5</w:t>
            </w:r>
          </w:p>
        </w:tc>
        <w:tc>
          <w:tcPr>
            <w:tcW w:w="1139" w:type="dxa"/>
            <w:vAlign w:val="center"/>
          </w:tcPr>
          <w:p w14:paraId="33A22D2F">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14.0-15.0</w:t>
            </w:r>
          </w:p>
        </w:tc>
        <w:tc>
          <w:tcPr>
            <w:tcW w:w="1228" w:type="dxa"/>
            <w:vAlign w:val="center"/>
          </w:tcPr>
          <w:p w14:paraId="5A0E219F">
            <w:pPr>
              <w:pageBreakBefore w:val="0"/>
              <w:kinsoku/>
              <w:overflowPunct/>
              <w:topLinePunct w:val="0"/>
              <w:autoSpaceDE/>
              <w:autoSpaceDN/>
              <w:bidi w:val="0"/>
              <w:adjustRightInd/>
              <w:snapToGrid/>
              <w:spacing w:line="590" w:lineRule="exact"/>
              <w:ind w:firstLine="0" w:firstLineChars="0"/>
              <w:jc w:val="center"/>
              <w:rPr>
                <w:rFonts w:hint="eastAsia" w:ascii="Times New Roman" w:hAnsi="Times New Roman" w:eastAsia="仿宋_GB2312" w:cs="仿宋_GB2312"/>
                <w:color w:val="auto"/>
                <w:sz w:val="21"/>
                <w:szCs w:val="21"/>
                <w:highlight w:val="none"/>
                <w:vertAlign w:val="baseline"/>
              </w:rPr>
            </w:pPr>
            <w:r>
              <w:rPr>
                <w:rFonts w:hint="eastAsia" w:ascii="Times New Roman" w:hAnsi="Times New Roman" w:eastAsia="仿宋_GB2312" w:cs="仿宋_GB2312"/>
                <w:color w:val="auto"/>
                <w:sz w:val="21"/>
                <w:szCs w:val="21"/>
                <w:highlight w:val="none"/>
                <w:vertAlign w:val="baseline"/>
                <w:lang w:val="en-US" w:eastAsia="zh-CN"/>
              </w:rPr>
              <w:t>13.9-15.0</w:t>
            </w:r>
          </w:p>
        </w:tc>
        <w:tc>
          <w:tcPr>
            <w:tcW w:w="1228" w:type="dxa"/>
            <w:vAlign w:val="center"/>
          </w:tcPr>
          <w:p w14:paraId="0102D742">
            <w:pPr>
              <w:pageBreakBefore w:val="0"/>
              <w:kinsoku/>
              <w:overflowPunct/>
              <w:topLinePunct w:val="0"/>
              <w:autoSpaceDE/>
              <w:autoSpaceDN/>
              <w:bidi w:val="0"/>
              <w:adjustRightInd/>
              <w:snapToGrid/>
              <w:spacing w:line="590" w:lineRule="exact"/>
              <w:ind w:firstLine="0" w:firstLineChars="0"/>
              <w:jc w:val="center"/>
              <w:rPr>
                <w:rFonts w:hint="eastAsia" w:ascii="Times New Roman" w:hAnsi="Times New Roman" w:eastAsia="仿宋_GB2312" w:cs="仿宋_GB2312"/>
                <w:color w:val="auto"/>
                <w:sz w:val="21"/>
                <w:szCs w:val="21"/>
                <w:highlight w:val="none"/>
                <w:vertAlign w:val="baseline"/>
              </w:rPr>
            </w:pPr>
            <w:r>
              <w:rPr>
                <w:rFonts w:hint="eastAsia" w:ascii="Times New Roman" w:hAnsi="Times New Roman" w:eastAsia="仿宋_GB2312" w:cs="仿宋_GB2312"/>
                <w:color w:val="auto"/>
                <w:sz w:val="21"/>
                <w:szCs w:val="21"/>
                <w:highlight w:val="none"/>
                <w:vertAlign w:val="baseline"/>
                <w:lang w:val="en-US" w:eastAsia="zh-CN"/>
              </w:rPr>
              <w:t>15.0-16.0</w:t>
            </w:r>
          </w:p>
        </w:tc>
      </w:tr>
      <w:tr w14:paraId="1AF81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815" w:type="dxa"/>
            <w:vAlign w:val="center"/>
          </w:tcPr>
          <w:p w14:paraId="0DDB4D60">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胸深（cm）</w:t>
            </w:r>
          </w:p>
        </w:tc>
        <w:tc>
          <w:tcPr>
            <w:tcW w:w="1378" w:type="dxa"/>
            <w:vAlign w:val="center"/>
          </w:tcPr>
          <w:p w14:paraId="06ABC187">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10.0-12.0</w:t>
            </w:r>
          </w:p>
        </w:tc>
        <w:tc>
          <w:tcPr>
            <w:tcW w:w="1050" w:type="dxa"/>
            <w:vAlign w:val="center"/>
          </w:tcPr>
          <w:p w14:paraId="34F19B17">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kern w:val="2"/>
                <w:sz w:val="21"/>
                <w:szCs w:val="21"/>
                <w:highlight w:val="none"/>
                <w:vertAlign w:val="baseline"/>
                <w:lang w:val="en-US" w:eastAsia="zh-CN" w:bidi="ar-SA"/>
              </w:rPr>
            </w:pPr>
            <w:r>
              <w:rPr>
                <w:rFonts w:hint="eastAsia" w:ascii="Times New Roman" w:hAnsi="Times New Roman" w:eastAsia="仿宋_GB2312" w:cs="仿宋_GB2312"/>
                <w:color w:val="auto"/>
                <w:kern w:val="2"/>
                <w:sz w:val="21"/>
                <w:szCs w:val="21"/>
                <w:highlight w:val="none"/>
                <w:vertAlign w:val="baseline"/>
                <w:lang w:val="en-US" w:eastAsia="zh-CN" w:bidi="ar-SA"/>
              </w:rPr>
              <w:t>7.5-8.0</w:t>
            </w:r>
          </w:p>
        </w:tc>
        <w:tc>
          <w:tcPr>
            <w:tcW w:w="1138" w:type="dxa"/>
            <w:vAlign w:val="center"/>
          </w:tcPr>
          <w:p w14:paraId="1C1F8D78">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6.0-8.0</w:t>
            </w:r>
          </w:p>
        </w:tc>
        <w:tc>
          <w:tcPr>
            <w:tcW w:w="1139" w:type="dxa"/>
            <w:vAlign w:val="center"/>
          </w:tcPr>
          <w:p w14:paraId="1DCB682E">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7.0-7.5</w:t>
            </w:r>
          </w:p>
        </w:tc>
        <w:tc>
          <w:tcPr>
            <w:tcW w:w="1228" w:type="dxa"/>
            <w:vAlign w:val="center"/>
          </w:tcPr>
          <w:p w14:paraId="1278C993">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8.0-8.5</w:t>
            </w:r>
          </w:p>
        </w:tc>
        <w:tc>
          <w:tcPr>
            <w:tcW w:w="1228" w:type="dxa"/>
            <w:vAlign w:val="center"/>
          </w:tcPr>
          <w:p w14:paraId="29B4FCF4">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9.0-9.5</w:t>
            </w:r>
          </w:p>
        </w:tc>
      </w:tr>
      <w:tr w14:paraId="189C6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815" w:type="dxa"/>
            <w:vAlign w:val="center"/>
          </w:tcPr>
          <w:p w14:paraId="3091C5F2">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胸宽（cm）</w:t>
            </w:r>
          </w:p>
        </w:tc>
        <w:tc>
          <w:tcPr>
            <w:tcW w:w="1378" w:type="dxa"/>
            <w:vAlign w:val="center"/>
          </w:tcPr>
          <w:p w14:paraId="523CFF55">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8.0-9.0</w:t>
            </w:r>
          </w:p>
        </w:tc>
        <w:tc>
          <w:tcPr>
            <w:tcW w:w="1050" w:type="dxa"/>
            <w:vAlign w:val="center"/>
          </w:tcPr>
          <w:p w14:paraId="127718FA">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kern w:val="2"/>
                <w:sz w:val="21"/>
                <w:szCs w:val="21"/>
                <w:highlight w:val="none"/>
                <w:vertAlign w:val="baseline"/>
                <w:lang w:val="en-US" w:eastAsia="zh-CN" w:bidi="ar-SA"/>
              </w:rPr>
            </w:pPr>
            <w:r>
              <w:rPr>
                <w:rFonts w:hint="eastAsia" w:ascii="Times New Roman" w:hAnsi="Times New Roman" w:eastAsia="仿宋_GB2312" w:cs="仿宋_GB2312"/>
                <w:color w:val="auto"/>
                <w:kern w:val="2"/>
                <w:sz w:val="21"/>
                <w:szCs w:val="21"/>
                <w:highlight w:val="none"/>
                <w:vertAlign w:val="baseline"/>
                <w:lang w:val="en-US" w:eastAsia="zh-CN" w:bidi="ar-SA"/>
              </w:rPr>
              <w:t>8.0-8.5</w:t>
            </w:r>
          </w:p>
        </w:tc>
        <w:tc>
          <w:tcPr>
            <w:tcW w:w="1138" w:type="dxa"/>
            <w:vAlign w:val="center"/>
          </w:tcPr>
          <w:p w14:paraId="70F392CA">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9.0-11.0</w:t>
            </w:r>
          </w:p>
        </w:tc>
        <w:tc>
          <w:tcPr>
            <w:tcW w:w="1139" w:type="dxa"/>
            <w:vAlign w:val="center"/>
          </w:tcPr>
          <w:p w14:paraId="06C56D36">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8.0-8.5</w:t>
            </w:r>
          </w:p>
        </w:tc>
        <w:tc>
          <w:tcPr>
            <w:tcW w:w="1228" w:type="dxa"/>
            <w:vAlign w:val="center"/>
          </w:tcPr>
          <w:p w14:paraId="62A97652">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8.0-8.5</w:t>
            </w:r>
          </w:p>
        </w:tc>
        <w:tc>
          <w:tcPr>
            <w:tcW w:w="1228" w:type="dxa"/>
            <w:vAlign w:val="center"/>
          </w:tcPr>
          <w:p w14:paraId="6263A248">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9.0-9.5</w:t>
            </w:r>
          </w:p>
        </w:tc>
      </w:tr>
      <w:tr w14:paraId="20F6E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815" w:type="dxa"/>
            <w:vAlign w:val="center"/>
          </w:tcPr>
          <w:p w14:paraId="69302C9F">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胫长（cm）</w:t>
            </w:r>
          </w:p>
        </w:tc>
        <w:tc>
          <w:tcPr>
            <w:tcW w:w="1378" w:type="dxa"/>
            <w:vAlign w:val="center"/>
          </w:tcPr>
          <w:p w14:paraId="382BEF2C">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10.0-12.0</w:t>
            </w:r>
          </w:p>
        </w:tc>
        <w:tc>
          <w:tcPr>
            <w:tcW w:w="1050" w:type="dxa"/>
            <w:vAlign w:val="center"/>
          </w:tcPr>
          <w:p w14:paraId="74E5D7DA">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kern w:val="2"/>
                <w:sz w:val="21"/>
                <w:szCs w:val="21"/>
                <w:highlight w:val="none"/>
                <w:vertAlign w:val="baseline"/>
                <w:lang w:val="en-US" w:eastAsia="zh-CN" w:bidi="ar-SA"/>
              </w:rPr>
            </w:pPr>
            <w:r>
              <w:rPr>
                <w:rFonts w:hint="eastAsia" w:ascii="Times New Roman" w:hAnsi="Times New Roman" w:eastAsia="仿宋_GB2312" w:cs="仿宋_GB2312"/>
                <w:color w:val="auto"/>
                <w:kern w:val="2"/>
                <w:sz w:val="21"/>
                <w:szCs w:val="21"/>
                <w:highlight w:val="none"/>
                <w:vertAlign w:val="baseline"/>
                <w:lang w:val="en-US" w:eastAsia="zh-CN" w:bidi="ar-SA"/>
              </w:rPr>
              <w:t>7.8-8.1</w:t>
            </w:r>
          </w:p>
        </w:tc>
        <w:tc>
          <w:tcPr>
            <w:tcW w:w="1138" w:type="dxa"/>
            <w:vAlign w:val="center"/>
          </w:tcPr>
          <w:p w14:paraId="544E4E36">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7.8-7.9</w:t>
            </w:r>
          </w:p>
        </w:tc>
        <w:tc>
          <w:tcPr>
            <w:tcW w:w="1139" w:type="dxa"/>
            <w:vAlign w:val="center"/>
          </w:tcPr>
          <w:p w14:paraId="147F7820">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8.6-9.0</w:t>
            </w:r>
          </w:p>
        </w:tc>
        <w:tc>
          <w:tcPr>
            <w:tcW w:w="1228" w:type="dxa"/>
            <w:vAlign w:val="center"/>
          </w:tcPr>
          <w:p w14:paraId="7B662A09">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8.3-8.5</w:t>
            </w:r>
          </w:p>
        </w:tc>
        <w:tc>
          <w:tcPr>
            <w:tcW w:w="1228" w:type="dxa"/>
            <w:vAlign w:val="center"/>
          </w:tcPr>
          <w:p w14:paraId="306BFC69">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8.6-9.0</w:t>
            </w:r>
          </w:p>
        </w:tc>
      </w:tr>
      <w:tr w14:paraId="3C05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815" w:type="dxa"/>
            <w:vAlign w:val="center"/>
          </w:tcPr>
          <w:p w14:paraId="1A6516C6">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胫围（cm）</w:t>
            </w:r>
          </w:p>
        </w:tc>
        <w:tc>
          <w:tcPr>
            <w:tcW w:w="1378" w:type="dxa"/>
            <w:vAlign w:val="center"/>
          </w:tcPr>
          <w:p w14:paraId="48F843CB">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6.0-6.5</w:t>
            </w:r>
          </w:p>
        </w:tc>
        <w:tc>
          <w:tcPr>
            <w:tcW w:w="1050" w:type="dxa"/>
            <w:vAlign w:val="center"/>
          </w:tcPr>
          <w:p w14:paraId="6698DFFC">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kern w:val="2"/>
                <w:sz w:val="21"/>
                <w:szCs w:val="21"/>
                <w:highlight w:val="none"/>
                <w:vertAlign w:val="baseline"/>
                <w:lang w:val="en-US" w:eastAsia="zh-CN" w:bidi="ar-SA"/>
              </w:rPr>
            </w:pPr>
            <w:r>
              <w:rPr>
                <w:rFonts w:hint="eastAsia" w:ascii="Times New Roman" w:hAnsi="Times New Roman" w:eastAsia="仿宋_GB2312" w:cs="仿宋_GB2312"/>
                <w:color w:val="auto"/>
                <w:kern w:val="2"/>
                <w:sz w:val="21"/>
                <w:szCs w:val="21"/>
                <w:highlight w:val="none"/>
                <w:vertAlign w:val="baseline"/>
                <w:lang w:val="en-US" w:eastAsia="zh-CN" w:bidi="ar-SA"/>
              </w:rPr>
              <w:t>4.0-4.5</w:t>
            </w:r>
          </w:p>
        </w:tc>
        <w:tc>
          <w:tcPr>
            <w:tcW w:w="1138" w:type="dxa"/>
            <w:vAlign w:val="center"/>
          </w:tcPr>
          <w:p w14:paraId="55546022">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4.3-4.5</w:t>
            </w:r>
          </w:p>
        </w:tc>
        <w:tc>
          <w:tcPr>
            <w:tcW w:w="1139" w:type="dxa"/>
            <w:vAlign w:val="center"/>
          </w:tcPr>
          <w:p w14:paraId="599B14DF">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4.5-5.0</w:t>
            </w:r>
          </w:p>
        </w:tc>
        <w:tc>
          <w:tcPr>
            <w:tcW w:w="1228" w:type="dxa"/>
            <w:vAlign w:val="center"/>
          </w:tcPr>
          <w:p w14:paraId="074155F1">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4.3-5.0</w:t>
            </w:r>
          </w:p>
        </w:tc>
        <w:tc>
          <w:tcPr>
            <w:tcW w:w="1228" w:type="dxa"/>
            <w:vAlign w:val="center"/>
          </w:tcPr>
          <w:p w14:paraId="2BB3F5D4">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4.5-5.0</w:t>
            </w:r>
          </w:p>
        </w:tc>
      </w:tr>
      <w:tr w14:paraId="3DCEF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815" w:type="dxa"/>
            <w:vAlign w:val="center"/>
          </w:tcPr>
          <w:p w14:paraId="3A892B0E">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骨盆宽（cm）</w:t>
            </w:r>
          </w:p>
        </w:tc>
        <w:tc>
          <w:tcPr>
            <w:tcW w:w="1378" w:type="dxa"/>
            <w:vAlign w:val="center"/>
          </w:tcPr>
          <w:p w14:paraId="3A65FC57">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9.0-11.0</w:t>
            </w:r>
          </w:p>
        </w:tc>
        <w:tc>
          <w:tcPr>
            <w:tcW w:w="1050" w:type="dxa"/>
            <w:vAlign w:val="center"/>
          </w:tcPr>
          <w:p w14:paraId="4E63F2E6">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kern w:val="2"/>
                <w:sz w:val="21"/>
                <w:szCs w:val="21"/>
                <w:highlight w:val="none"/>
                <w:vertAlign w:val="baseline"/>
                <w:lang w:val="en-US" w:eastAsia="zh-CN" w:bidi="ar-SA"/>
              </w:rPr>
            </w:pPr>
            <w:r>
              <w:rPr>
                <w:rFonts w:hint="eastAsia" w:ascii="Times New Roman" w:hAnsi="Times New Roman" w:eastAsia="仿宋_GB2312" w:cs="仿宋_GB2312"/>
                <w:color w:val="auto"/>
                <w:kern w:val="2"/>
                <w:sz w:val="21"/>
                <w:szCs w:val="21"/>
                <w:highlight w:val="none"/>
                <w:vertAlign w:val="baseline"/>
                <w:lang w:val="en-US" w:eastAsia="zh-CN" w:bidi="ar-SA"/>
              </w:rPr>
              <w:t>6.0-6.5</w:t>
            </w:r>
          </w:p>
        </w:tc>
        <w:tc>
          <w:tcPr>
            <w:tcW w:w="1138" w:type="dxa"/>
            <w:vAlign w:val="center"/>
          </w:tcPr>
          <w:p w14:paraId="6A06A901">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6.5-6.8</w:t>
            </w:r>
          </w:p>
        </w:tc>
        <w:tc>
          <w:tcPr>
            <w:tcW w:w="1139" w:type="dxa"/>
            <w:vAlign w:val="center"/>
          </w:tcPr>
          <w:p w14:paraId="34F7D220">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6.5-7.0</w:t>
            </w:r>
          </w:p>
        </w:tc>
        <w:tc>
          <w:tcPr>
            <w:tcW w:w="1228" w:type="dxa"/>
            <w:vAlign w:val="center"/>
          </w:tcPr>
          <w:p w14:paraId="76B46326">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6.6-7.0</w:t>
            </w:r>
          </w:p>
        </w:tc>
        <w:tc>
          <w:tcPr>
            <w:tcW w:w="1228" w:type="dxa"/>
            <w:vAlign w:val="center"/>
          </w:tcPr>
          <w:p w14:paraId="1353B163">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6.7-7.2</w:t>
            </w:r>
          </w:p>
        </w:tc>
      </w:tr>
      <w:tr w14:paraId="5E75F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815" w:type="dxa"/>
            <w:vAlign w:val="center"/>
          </w:tcPr>
          <w:p w14:paraId="4CFB0AC2">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半潜水长（cm）</w:t>
            </w:r>
          </w:p>
        </w:tc>
        <w:tc>
          <w:tcPr>
            <w:tcW w:w="1378" w:type="dxa"/>
            <w:vAlign w:val="center"/>
          </w:tcPr>
          <w:p w14:paraId="37B31360">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64.0-73.0</w:t>
            </w:r>
          </w:p>
        </w:tc>
        <w:tc>
          <w:tcPr>
            <w:tcW w:w="1050" w:type="dxa"/>
            <w:vAlign w:val="center"/>
          </w:tcPr>
          <w:p w14:paraId="0947D323">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kern w:val="2"/>
                <w:sz w:val="21"/>
                <w:szCs w:val="21"/>
                <w:highlight w:val="none"/>
                <w:vertAlign w:val="baseline"/>
                <w:lang w:val="en-US" w:eastAsia="zh-CN" w:bidi="ar-SA"/>
              </w:rPr>
            </w:pPr>
            <w:r>
              <w:rPr>
                <w:rFonts w:hint="eastAsia" w:ascii="Times New Roman" w:hAnsi="Times New Roman" w:eastAsia="仿宋_GB2312" w:cs="仿宋_GB2312"/>
                <w:color w:val="auto"/>
                <w:kern w:val="2"/>
                <w:sz w:val="21"/>
                <w:szCs w:val="21"/>
                <w:highlight w:val="none"/>
                <w:vertAlign w:val="baseline"/>
                <w:lang w:val="en-US" w:eastAsia="zh-CN" w:bidi="ar-SA"/>
              </w:rPr>
              <w:t>52.0-55.0</w:t>
            </w:r>
          </w:p>
        </w:tc>
        <w:tc>
          <w:tcPr>
            <w:tcW w:w="1138" w:type="dxa"/>
            <w:vAlign w:val="center"/>
          </w:tcPr>
          <w:p w14:paraId="67D3D79A">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52.0-55.0</w:t>
            </w:r>
          </w:p>
        </w:tc>
        <w:tc>
          <w:tcPr>
            <w:tcW w:w="1139" w:type="dxa"/>
            <w:vAlign w:val="center"/>
          </w:tcPr>
          <w:p w14:paraId="54AD0B39">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56.0-60.0</w:t>
            </w:r>
          </w:p>
        </w:tc>
        <w:tc>
          <w:tcPr>
            <w:tcW w:w="1228" w:type="dxa"/>
            <w:vAlign w:val="center"/>
          </w:tcPr>
          <w:p w14:paraId="5EE13E4C">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54.0-58.0</w:t>
            </w:r>
          </w:p>
        </w:tc>
        <w:tc>
          <w:tcPr>
            <w:tcW w:w="1228" w:type="dxa"/>
            <w:vAlign w:val="center"/>
          </w:tcPr>
          <w:p w14:paraId="39E6F067">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57.0-61.0</w:t>
            </w:r>
          </w:p>
        </w:tc>
      </w:tr>
    </w:tbl>
    <w:p w14:paraId="1B0AC9FD">
      <w:pPr>
        <w:pageBreakBefore w:val="0"/>
        <w:kinsoku/>
        <w:overflowPunct/>
        <w:topLinePunct w:val="0"/>
        <w:autoSpaceDE/>
        <w:autoSpaceDN/>
        <w:bidi w:val="0"/>
        <w:adjustRightInd/>
        <w:snapToGrid/>
        <w:spacing w:line="590" w:lineRule="exact"/>
        <w:ind w:firstLine="0" w:firstLineChars="0"/>
        <w:rPr>
          <w:rFonts w:hint="default" w:ascii="Times New Roman" w:hAnsi="Times New Roman" w:cs="Times New Roman" w:eastAsiaTheme="minorEastAsia"/>
          <w:color w:val="auto"/>
          <w:sz w:val="21"/>
          <w:highlight w:val="none"/>
        </w:rPr>
      </w:pPr>
    </w:p>
    <w:p w14:paraId="570D8941">
      <w:pPr>
        <w:pageBreakBefore w:val="0"/>
        <w:kinsoku/>
        <w:overflowPunct/>
        <w:topLinePunct w:val="0"/>
        <w:autoSpaceDE/>
        <w:autoSpaceDN/>
        <w:bidi w:val="0"/>
        <w:adjustRightInd/>
        <w:snapToGrid/>
        <w:spacing w:line="590" w:lineRule="exact"/>
        <w:ind w:firstLine="643" w:firstLineChars="200"/>
        <w:rPr>
          <w:rFonts w:hint="eastAsia" w:ascii="Times New Roman" w:hAnsi="Times New Roman"/>
          <w:b/>
          <w:bCs/>
          <w:color w:val="auto"/>
          <w:highlight w:val="none"/>
          <w:lang w:eastAsia="zh-CN"/>
        </w:rPr>
      </w:pPr>
      <w:r>
        <w:rPr>
          <w:rFonts w:hint="eastAsia" w:ascii="Times New Roman" w:hAnsi="Times New Roman"/>
          <w:b/>
          <w:bCs/>
          <w:color w:val="auto"/>
          <w:highlight w:val="none"/>
          <w:lang w:val="en-US" w:eastAsia="zh-CN"/>
        </w:rPr>
        <w:t>2.</w:t>
      </w:r>
      <w:r>
        <w:rPr>
          <w:rFonts w:hint="default" w:ascii="Times New Roman" w:hAnsi="Times New Roman"/>
          <w:b/>
          <w:bCs/>
          <w:color w:val="auto"/>
          <w:highlight w:val="none"/>
        </w:rPr>
        <w:t>世界上体型最大的鹅蛋</w:t>
      </w:r>
      <w:r>
        <w:rPr>
          <w:rFonts w:hint="eastAsia" w:ascii="Times New Roman" w:hAnsi="Times New Roman"/>
          <w:b/>
          <w:bCs/>
          <w:color w:val="auto"/>
          <w:highlight w:val="none"/>
          <w:lang w:eastAsia="zh-CN"/>
        </w:rPr>
        <w:t>。</w:t>
      </w:r>
    </w:p>
    <w:p w14:paraId="58B36C12">
      <w:pPr>
        <w:pageBreakBefore w:val="0"/>
        <w:kinsoku/>
        <w:overflowPunct/>
        <w:topLinePunct w:val="0"/>
        <w:autoSpaceDE/>
        <w:autoSpaceDN/>
        <w:bidi w:val="0"/>
        <w:adjustRightInd/>
        <w:snapToGrid/>
        <w:spacing w:line="590" w:lineRule="exact"/>
        <w:ind w:firstLine="640" w:firstLineChars="200"/>
        <w:rPr>
          <w:rFonts w:hint="default" w:ascii="Times New Roman" w:hAnsi="Times New Roman"/>
          <w:color w:val="auto"/>
          <w:highlight w:val="none"/>
        </w:rPr>
      </w:pPr>
      <w:r>
        <w:rPr>
          <w:rFonts w:hint="default" w:ascii="Times New Roman" w:hAnsi="Times New Roman"/>
          <w:color w:val="auto"/>
          <w:highlight w:val="none"/>
        </w:rPr>
        <w:t>狮头鹅产蛋季节在每年9月至翌年4月，两岁以上的母鹅平均年产蛋量为28个，平均蛋重在210</w:t>
      </w:r>
      <w:r>
        <w:rPr>
          <w:rFonts w:hint="eastAsia" w:ascii="Times New Roman" w:hAnsi="Times New Roman"/>
          <w:color w:val="auto"/>
          <w:highlight w:val="none"/>
          <w:lang w:eastAsia="zh-CN"/>
        </w:rPr>
        <w:t>—</w:t>
      </w:r>
      <w:r>
        <w:rPr>
          <w:rFonts w:hint="default" w:ascii="Times New Roman" w:hAnsi="Times New Roman"/>
          <w:color w:val="auto"/>
          <w:highlight w:val="none"/>
        </w:rPr>
        <w:t>220g之间，蛋形指数为1.53。</w:t>
      </w:r>
      <w:r>
        <w:rPr>
          <w:rFonts w:hint="default" w:ascii="Times New Roman" w:hAnsi="Times New Roman"/>
          <w:b w:val="0"/>
          <w:bCs w:val="0"/>
          <w:color w:val="auto"/>
          <w:highlight w:val="none"/>
        </w:rPr>
        <w:t>而普通鹅蛋重量在150g左右，狮头鹅蛋比普通鹅蛋重50</w:t>
      </w:r>
      <w:r>
        <w:rPr>
          <w:rFonts w:hint="eastAsia" w:ascii="Times New Roman" w:hAnsi="Times New Roman"/>
          <w:b w:val="0"/>
          <w:bCs w:val="0"/>
          <w:color w:val="auto"/>
          <w:highlight w:val="none"/>
          <w:lang w:eastAsia="zh-CN"/>
        </w:rPr>
        <w:t>—</w:t>
      </w:r>
      <w:r>
        <w:rPr>
          <w:rFonts w:hint="default" w:ascii="Times New Roman" w:hAnsi="Times New Roman"/>
          <w:b w:val="0"/>
          <w:bCs w:val="0"/>
          <w:color w:val="auto"/>
          <w:highlight w:val="none"/>
        </w:rPr>
        <w:t>70g</w:t>
      </w:r>
      <w:r>
        <w:rPr>
          <w:rFonts w:hint="default" w:ascii="Times New Roman" w:hAnsi="Times New Roman"/>
          <w:color w:val="auto"/>
          <w:highlight w:val="none"/>
        </w:rPr>
        <w:t>。</w:t>
      </w:r>
    </w:p>
    <w:p w14:paraId="49AFDF2B">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30"/>
          <w:szCs w:val="30"/>
          <w:highlight w:val="none"/>
          <w:lang w:val="en-US"/>
        </w:rPr>
      </w:pPr>
      <w:r>
        <w:rPr>
          <w:rFonts w:hint="eastAsia" w:ascii="Times New Roman" w:hAnsi="Times New Roman" w:eastAsia="仿宋_GB2312" w:cs="仿宋_GB2312"/>
          <w:color w:val="auto"/>
          <w:sz w:val="30"/>
          <w:szCs w:val="30"/>
          <w:highlight w:val="none"/>
          <w:lang w:val="en-US" w:eastAsia="zh-CN"/>
        </w:rPr>
        <w:t>狮头鹅与全国著名5个鹅种鹅蛋对比表</w:t>
      </w:r>
    </w:p>
    <w:tbl>
      <w:tblPr>
        <w:tblStyle w:val="24"/>
        <w:tblW w:w="8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5"/>
        <w:gridCol w:w="1300"/>
        <w:gridCol w:w="975"/>
        <w:gridCol w:w="1357"/>
        <w:gridCol w:w="1162"/>
        <w:gridCol w:w="1162"/>
        <w:gridCol w:w="1162"/>
      </w:tblGrid>
      <w:tr w14:paraId="51EDA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375" w:type="dxa"/>
            <w:vAlign w:val="center"/>
          </w:tcPr>
          <w:p w14:paraId="0DC0F81A">
            <w:pPr>
              <w:pageBreakBefore w:val="0"/>
              <w:kinsoku/>
              <w:overflowPunct/>
              <w:topLinePunct w:val="0"/>
              <w:autoSpaceDE/>
              <w:autoSpaceDN/>
              <w:bidi w:val="0"/>
              <w:adjustRightInd/>
              <w:snapToGrid/>
              <w:spacing w:line="590" w:lineRule="exact"/>
              <w:ind w:firstLine="0" w:firstLineChars="0"/>
              <w:jc w:val="center"/>
              <w:rPr>
                <w:rFonts w:hint="eastAsia" w:ascii="Times New Roman" w:hAnsi="Times New Roman" w:eastAsia="仿宋_GB2312" w:cs="仿宋_GB2312"/>
                <w:b/>
                <w:bCs/>
                <w:color w:val="auto"/>
                <w:kern w:val="2"/>
                <w:sz w:val="21"/>
                <w:szCs w:val="21"/>
                <w:highlight w:val="none"/>
                <w:vertAlign w:val="baseline"/>
                <w:lang w:val="en-US" w:eastAsia="zh-CN" w:bidi="ar-SA"/>
              </w:rPr>
            </w:pPr>
            <w:r>
              <w:rPr>
                <w:rFonts w:hint="eastAsia" w:ascii="Times New Roman" w:hAnsi="Times New Roman" w:eastAsia="仿宋_GB2312" w:cs="仿宋_GB2312"/>
                <w:b/>
                <w:bCs/>
                <w:color w:val="auto"/>
                <w:sz w:val="21"/>
                <w:szCs w:val="21"/>
                <w:highlight w:val="none"/>
                <w:vertAlign w:val="baseline"/>
                <w:lang w:val="en-US" w:eastAsia="zh-CN"/>
              </w:rPr>
              <w:t>指标</w:t>
            </w:r>
          </w:p>
        </w:tc>
        <w:tc>
          <w:tcPr>
            <w:tcW w:w="1300" w:type="dxa"/>
            <w:vAlign w:val="center"/>
          </w:tcPr>
          <w:p w14:paraId="67B010C2">
            <w:pPr>
              <w:pageBreakBefore w:val="0"/>
              <w:kinsoku/>
              <w:overflowPunct/>
              <w:topLinePunct w:val="0"/>
              <w:autoSpaceDE/>
              <w:autoSpaceDN/>
              <w:bidi w:val="0"/>
              <w:adjustRightInd/>
              <w:snapToGrid/>
              <w:spacing w:line="590" w:lineRule="exact"/>
              <w:ind w:firstLine="0" w:firstLineChars="0"/>
              <w:jc w:val="center"/>
              <w:rPr>
                <w:rFonts w:hint="eastAsia" w:ascii="Times New Roman" w:hAnsi="Times New Roman" w:eastAsia="仿宋_GB2312" w:cs="仿宋_GB2312"/>
                <w:b/>
                <w:bCs/>
                <w:color w:val="auto"/>
                <w:kern w:val="2"/>
                <w:sz w:val="21"/>
                <w:szCs w:val="21"/>
                <w:highlight w:val="none"/>
                <w:vertAlign w:val="baseline"/>
                <w:lang w:val="en-US" w:eastAsia="zh-CN" w:bidi="ar-SA"/>
              </w:rPr>
            </w:pPr>
            <w:r>
              <w:rPr>
                <w:rFonts w:hint="eastAsia" w:ascii="Times New Roman" w:hAnsi="Times New Roman" w:eastAsia="仿宋_GB2312" w:cs="仿宋_GB2312"/>
                <w:b/>
                <w:bCs/>
                <w:color w:val="auto"/>
                <w:sz w:val="21"/>
                <w:szCs w:val="21"/>
                <w:highlight w:val="none"/>
                <w:vertAlign w:val="baseline"/>
                <w:lang w:val="en-US" w:eastAsia="zh-CN"/>
              </w:rPr>
              <w:t>澄海狮头鹅</w:t>
            </w:r>
          </w:p>
        </w:tc>
        <w:tc>
          <w:tcPr>
            <w:tcW w:w="975" w:type="dxa"/>
            <w:vAlign w:val="center"/>
          </w:tcPr>
          <w:p w14:paraId="1D23F7DC">
            <w:pPr>
              <w:pageBreakBefore w:val="0"/>
              <w:kinsoku/>
              <w:overflowPunct/>
              <w:topLinePunct w:val="0"/>
              <w:autoSpaceDE/>
              <w:autoSpaceDN/>
              <w:bidi w:val="0"/>
              <w:adjustRightInd/>
              <w:snapToGrid/>
              <w:spacing w:line="590" w:lineRule="exact"/>
              <w:ind w:firstLine="0" w:firstLineChars="0"/>
              <w:jc w:val="center"/>
              <w:rPr>
                <w:rFonts w:hint="eastAsia" w:ascii="Times New Roman" w:hAnsi="Times New Roman" w:eastAsia="仿宋_GB2312" w:cs="仿宋_GB2312"/>
                <w:b/>
                <w:bCs/>
                <w:color w:val="auto"/>
                <w:kern w:val="2"/>
                <w:sz w:val="21"/>
                <w:szCs w:val="21"/>
                <w:highlight w:val="none"/>
                <w:vertAlign w:val="baseline"/>
                <w:lang w:val="en-US" w:eastAsia="zh-CN" w:bidi="ar-SA"/>
              </w:rPr>
            </w:pPr>
            <w:r>
              <w:rPr>
                <w:rFonts w:hint="eastAsia" w:ascii="Times New Roman" w:hAnsi="Times New Roman" w:eastAsia="仿宋_GB2312" w:cs="仿宋_GB2312"/>
                <w:b/>
                <w:bCs/>
                <w:color w:val="auto"/>
                <w:kern w:val="2"/>
                <w:sz w:val="21"/>
                <w:szCs w:val="21"/>
                <w:highlight w:val="none"/>
                <w:vertAlign w:val="baseline"/>
                <w:lang w:val="en-US" w:eastAsia="zh-CN" w:bidi="ar-SA"/>
              </w:rPr>
              <w:t>太湖鹅</w:t>
            </w:r>
          </w:p>
        </w:tc>
        <w:tc>
          <w:tcPr>
            <w:tcW w:w="1357" w:type="dxa"/>
            <w:vAlign w:val="center"/>
          </w:tcPr>
          <w:p w14:paraId="7517A26D">
            <w:pPr>
              <w:pageBreakBefore w:val="0"/>
              <w:kinsoku/>
              <w:overflowPunct/>
              <w:topLinePunct w:val="0"/>
              <w:autoSpaceDE/>
              <w:autoSpaceDN/>
              <w:bidi w:val="0"/>
              <w:adjustRightInd/>
              <w:snapToGrid/>
              <w:spacing w:line="590" w:lineRule="exact"/>
              <w:ind w:firstLine="0" w:firstLineChars="0"/>
              <w:jc w:val="center"/>
              <w:rPr>
                <w:rFonts w:hint="eastAsia" w:ascii="Times New Roman" w:hAnsi="Times New Roman" w:eastAsia="仿宋_GB2312" w:cs="仿宋_GB2312"/>
                <w:b/>
                <w:bCs/>
                <w:color w:val="auto"/>
                <w:kern w:val="2"/>
                <w:sz w:val="21"/>
                <w:szCs w:val="21"/>
                <w:highlight w:val="none"/>
                <w:vertAlign w:val="baseline"/>
                <w:lang w:val="en-US" w:eastAsia="zh-CN" w:bidi="ar-SA"/>
              </w:rPr>
            </w:pPr>
            <w:r>
              <w:rPr>
                <w:rFonts w:hint="eastAsia" w:ascii="Times New Roman" w:hAnsi="Times New Roman" w:eastAsia="仿宋_GB2312" w:cs="仿宋_GB2312"/>
                <w:b/>
                <w:bCs/>
                <w:color w:val="auto"/>
                <w:sz w:val="21"/>
                <w:szCs w:val="21"/>
                <w:highlight w:val="none"/>
                <w:vertAlign w:val="baseline"/>
                <w:lang w:val="en-US" w:eastAsia="zh-CN"/>
              </w:rPr>
              <w:t>四川白鹅</w:t>
            </w:r>
          </w:p>
        </w:tc>
        <w:tc>
          <w:tcPr>
            <w:tcW w:w="1162" w:type="dxa"/>
            <w:vAlign w:val="center"/>
          </w:tcPr>
          <w:p w14:paraId="7876F376">
            <w:pPr>
              <w:pageBreakBefore w:val="0"/>
              <w:kinsoku/>
              <w:overflowPunct/>
              <w:topLinePunct w:val="0"/>
              <w:autoSpaceDE/>
              <w:autoSpaceDN/>
              <w:bidi w:val="0"/>
              <w:adjustRightInd/>
              <w:snapToGrid/>
              <w:spacing w:line="590" w:lineRule="exact"/>
              <w:ind w:firstLine="0" w:firstLineChars="0"/>
              <w:jc w:val="center"/>
              <w:rPr>
                <w:rFonts w:hint="eastAsia" w:ascii="Times New Roman" w:hAnsi="Times New Roman" w:eastAsia="仿宋_GB2312" w:cs="仿宋_GB2312"/>
                <w:b/>
                <w:bCs/>
                <w:color w:val="auto"/>
                <w:kern w:val="2"/>
                <w:sz w:val="21"/>
                <w:szCs w:val="21"/>
                <w:highlight w:val="none"/>
                <w:vertAlign w:val="baseline"/>
                <w:lang w:val="en-US" w:eastAsia="zh-CN" w:bidi="ar-SA"/>
              </w:rPr>
            </w:pPr>
            <w:r>
              <w:rPr>
                <w:rFonts w:hint="eastAsia" w:ascii="Times New Roman" w:hAnsi="Times New Roman" w:eastAsia="仿宋_GB2312" w:cs="仿宋_GB2312"/>
                <w:b/>
                <w:bCs/>
                <w:color w:val="auto"/>
                <w:sz w:val="21"/>
                <w:szCs w:val="21"/>
                <w:highlight w:val="none"/>
                <w:vertAlign w:val="baseline"/>
                <w:lang w:val="en-US" w:eastAsia="zh-CN"/>
              </w:rPr>
              <w:t>三花鹅</w:t>
            </w:r>
          </w:p>
        </w:tc>
        <w:tc>
          <w:tcPr>
            <w:tcW w:w="1162" w:type="dxa"/>
            <w:vAlign w:val="center"/>
          </w:tcPr>
          <w:p w14:paraId="7D73A8AD">
            <w:pPr>
              <w:pageBreakBefore w:val="0"/>
              <w:kinsoku/>
              <w:overflowPunct/>
              <w:topLinePunct w:val="0"/>
              <w:autoSpaceDE/>
              <w:autoSpaceDN/>
              <w:bidi w:val="0"/>
              <w:adjustRightInd/>
              <w:snapToGrid/>
              <w:spacing w:line="590" w:lineRule="exact"/>
              <w:ind w:firstLine="0" w:firstLineChars="0"/>
              <w:jc w:val="center"/>
              <w:rPr>
                <w:rFonts w:hint="eastAsia" w:ascii="Times New Roman" w:hAnsi="Times New Roman" w:eastAsia="仿宋_GB2312" w:cs="仿宋_GB2312"/>
                <w:b/>
                <w:bCs/>
                <w:color w:val="auto"/>
                <w:kern w:val="2"/>
                <w:sz w:val="21"/>
                <w:szCs w:val="21"/>
                <w:highlight w:val="none"/>
                <w:vertAlign w:val="baseline"/>
                <w:lang w:val="en-US" w:eastAsia="zh-CN" w:bidi="ar-SA"/>
              </w:rPr>
            </w:pPr>
            <w:r>
              <w:rPr>
                <w:rFonts w:hint="eastAsia" w:ascii="Times New Roman" w:hAnsi="Times New Roman" w:eastAsia="仿宋_GB2312" w:cs="仿宋_GB2312"/>
                <w:b/>
                <w:bCs/>
                <w:color w:val="auto"/>
                <w:sz w:val="21"/>
                <w:szCs w:val="21"/>
                <w:highlight w:val="none"/>
                <w:vertAlign w:val="baseline"/>
                <w:lang w:val="en-US" w:eastAsia="zh-CN"/>
              </w:rPr>
              <w:t>五龙鹅</w:t>
            </w:r>
          </w:p>
        </w:tc>
        <w:tc>
          <w:tcPr>
            <w:tcW w:w="1162" w:type="dxa"/>
            <w:vAlign w:val="center"/>
          </w:tcPr>
          <w:p w14:paraId="0C55DE05">
            <w:pPr>
              <w:pageBreakBefore w:val="0"/>
              <w:kinsoku/>
              <w:overflowPunct/>
              <w:topLinePunct w:val="0"/>
              <w:autoSpaceDE/>
              <w:autoSpaceDN/>
              <w:bidi w:val="0"/>
              <w:adjustRightInd/>
              <w:snapToGrid/>
              <w:spacing w:line="590" w:lineRule="exact"/>
              <w:ind w:firstLine="0" w:firstLineChars="0"/>
              <w:jc w:val="center"/>
              <w:rPr>
                <w:rFonts w:hint="eastAsia" w:ascii="Times New Roman" w:hAnsi="Times New Roman" w:eastAsia="仿宋_GB2312" w:cs="仿宋_GB2312"/>
                <w:b/>
                <w:bCs/>
                <w:color w:val="auto"/>
                <w:kern w:val="2"/>
                <w:sz w:val="21"/>
                <w:szCs w:val="21"/>
                <w:highlight w:val="none"/>
                <w:vertAlign w:val="baseline"/>
                <w:lang w:val="en-US" w:eastAsia="zh-CN" w:bidi="ar-SA"/>
              </w:rPr>
            </w:pPr>
            <w:r>
              <w:rPr>
                <w:rFonts w:hint="eastAsia" w:ascii="Times New Roman" w:hAnsi="Times New Roman" w:eastAsia="仿宋_GB2312" w:cs="仿宋_GB2312"/>
                <w:b/>
                <w:bCs/>
                <w:color w:val="auto"/>
                <w:sz w:val="21"/>
                <w:szCs w:val="21"/>
                <w:highlight w:val="none"/>
                <w:vertAlign w:val="baseline"/>
                <w:lang w:val="en-US" w:eastAsia="zh-CN"/>
              </w:rPr>
              <w:t>皖西白鹅</w:t>
            </w:r>
          </w:p>
        </w:tc>
      </w:tr>
      <w:tr w14:paraId="4002C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375" w:type="dxa"/>
            <w:vAlign w:val="center"/>
          </w:tcPr>
          <w:p w14:paraId="1A90D18A">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蛋重（g）</w:t>
            </w:r>
          </w:p>
        </w:tc>
        <w:tc>
          <w:tcPr>
            <w:tcW w:w="1300" w:type="dxa"/>
            <w:vAlign w:val="center"/>
          </w:tcPr>
          <w:p w14:paraId="07F2AA20">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210-220</w:t>
            </w:r>
          </w:p>
        </w:tc>
        <w:tc>
          <w:tcPr>
            <w:tcW w:w="975" w:type="dxa"/>
            <w:vAlign w:val="center"/>
          </w:tcPr>
          <w:p w14:paraId="608995BB">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kern w:val="2"/>
                <w:sz w:val="21"/>
                <w:szCs w:val="21"/>
                <w:highlight w:val="none"/>
                <w:vertAlign w:val="baseline"/>
                <w:lang w:val="en-US" w:eastAsia="zh-CN" w:bidi="ar-SA"/>
              </w:rPr>
            </w:pPr>
            <w:r>
              <w:rPr>
                <w:rFonts w:hint="eastAsia" w:ascii="Times New Roman" w:hAnsi="Times New Roman" w:eastAsia="仿宋_GB2312" w:cs="仿宋_GB2312"/>
                <w:color w:val="auto"/>
                <w:kern w:val="2"/>
                <w:sz w:val="21"/>
                <w:szCs w:val="21"/>
                <w:highlight w:val="none"/>
                <w:vertAlign w:val="baseline"/>
                <w:lang w:val="en-US" w:eastAsia="zh-CN" w:bidi="ar-SA"/>
              </w:rPr>
              <w:t>130</w:t>
            </w:r>
          </w:p>
        </w:tc>
        <w:tc>
          <w:tcPr>
            <w:tcW w:w="1357" w:type="dxa"/>
            <w:vAlign w:val="center"/>
          </w:tcPr>
          <w:p w14:paraId="734E6BA4">
            <w:pPr>
              <w:pageBreakBefore w:val="0"/>
              <w:kinsoku/>
              <w:overflowPunct/>
              <w:topLinePunct w:val="0"/>
              <w:autoSpaceDE/>
              <w:autoSpaceDN/>
              <w:bidi w:val="0"/>
              <w:adjustRightInd/>
              <w:snapToGrid/>
              <w:spacing w:line="590" w:lineRule="exact"/>
              <w:ind w:firstLine="0" w:firstLineChars="0"/>
              <w:jc w:val="center"/>
              <w:rPr>
                <w:rFonts w:hint="eastAsia" w:ascii="Times New Roman" w:hAnsi="Times New Roman" w:eastAsia="仿宋_GB2312" w:cs="仿宋_GB2312"/>
                <w:color w:val="auto"/>
                <w:kern w:val="2"/>
                <w:sz w:val="21"/>
                <w:szCs w:val="21"/>
                <w:highlight w:val="none"/>
                <w:vertAlign w:val="baseline"/>
                <w:lang w:val="en-US" w:eastAsia="zh-CN" w:bidi="ar-SA"/>
              </w:rPr>
            </w:pPr>
            <w:r>
              <w:rPr>
                <w:rFonts w:hint="eastAsia" w:ascii="Times New Roman" w:hAnsi="Times New Roman" w:eastAsia="仿宋_GB2312" w:cs="仿宋_GB2312"/>
                <w:color w:val="auto"/>
                <w:sz w:val="21"/>
                <w:szCs w:val="21"/>
                <w:highlight w:val="none"/>
                <w:vertAlign w:val="baseline"/>
                <w:lang w:val="en-US" w:eastAsia="zh-CN"/>
              </w:rPr>
              <w:t>146.28</w:t>
            </w:r>
          </w:p>
        </w:tc>
        <w:tc>
          <w:tcPr>
            <w:tcW w:w="1162" w:type="dxa"/>
            <w:vAlign w:val="center"/>
          </w:tcPr>
          <w:p w14:paraId="0C77BEEA">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150</w:t>
            </w:r>
          </w:p>
        </w:tc>
        <w:tc>
          <w:tcPr>
            <w:tcW w:w="1162" w:type="dxa"/>
            <w:vAlign w:val="center"/>
          </w:tcPr>
          <w:p w14:paraId="7C4EFF2A">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125.25</w:t>
            </w:r>
          </w:p>
        </w:tc>
        <w:tc>
          <w:tcPr>
            <w:tcW w:w="1162" w:type="dxa"/>
            <w:vAlign w:val="center"/>
          </w:tcPr>
          <w:p w14:paraId="0938EF42">
            <w:pPr>
              <w:pageBreakBefore w:val="0"/>
              <w:kinsoku/>
              <w:overflowPunct/>
              <w:topLinePunct w:val="0"/>
              <w:autoSpaceDE/>
              <w:autoSpaceDN/>
              <w:bidi w:val="0"/>
              <w:adjustRightInd/>
              <w:snapToGrid/>
              <w:spacing w:line="590" w:lineRule="exact"/>
              <w:ind w:firstLine="0" w:firstLineChars="0"/>
              <w:jc w:val="center"/>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150</w:t>
            </w:r>
          </w:p>
        </w:tc>
      </w:tr>
    </w:tbl>
    <w:p w14:paraId="6C0CEB9D">
      <w:pPr>
        <w:pageBreakBefore w:val="0"/>
        <w:kinsoku/>
        <w:overflowPunct/>
        <w:topLinePunct w:val="0"/>
        <w:autoSpaceDE/>
        <w:autoSpaceDN/>
        <w:bidi w:val="0"/>
        <w:adjustRightInd/>
        <w:snapToGrid/>
        <w:spacing w:line="590" w:lineRule="exact"/>
        <w:rPr>
          <w:rFonts w:hint="eastAsia" w:ascii="Times New Roman" w:hAnsi="Times New Roman"/>
          <w:b/>
          <w:bCs/>
          <w:color w:val="auto"/>
          <w:highlight w:val="none"/>
          <w:lang w:eastAsia="zh-CN"/>
        </w:rPr>
      </w:pPr>
    </w:p>
    <w:p w14:paraId="32199D6E">
      <w:pPr>
        <w:pageBreakBefore w:val="0"/>
        <w:kinsoku/>
        <w:overflowPunct/>
        <w:topLinePunct w:val="0"/>
        <w:autoSpaceDE/>
        <w:autoSpaceDN/>
        <w:bidi w:val="0"/>
        <w:adjustRightInd/>
        <w:snapToGrid/>
        <w:spacing w:line="590" w:lineRule="exact"/>
        <w:ind w:firstLine="643" w:firstLineChars="200"/>
        <w:rPr>
          <w:rFonts w:hint="eastAsia" w:ascii="Times New Roman" w:hAnsi="Times New Roman"/>
          <w:b/>
          <w:bCs/>
          <w:color w:val="auto"/>
          <w:highlight w:val="none"/>
          <w:lang w:eastAsia="zh-CN"/>
        </w:rPr>
      </w:pPr>
      <w:r>
        <w:rPr>
          <w:rFonts w:hint="eastAsia" w:ascii="Times New Roman" w:hAnsi="Times New Roman"/>
          <w:b/>
          <w:bCs/>
          <w:color w:val="auto"/>
          <w:highlight w:val="none"/>
          <w:lang w:val="en-US" w:eastAsia="zh-CN"/>
        </w:rPr>
        <w:t>3.</w:t>
      </w:r>
      <w:r>
        <w:rPr>
          <w:rFonts w:hint="default" w:ascii="Times New Roman" w:hAnsi="Times New Roman"/>
          <w:b/>
          <w:bCs/>
          <w:color w:val="auto"/>
          <w:highlight w:val="none"/>
        </w:rPr>
        <w:t>世界上价值最高的鹅</w:t>
      </w:r>
      <w:r>
        <w:rPr>
          <w:rFonts w:hint="eastAsia" w:ascii="Times New Roman" w:hAnsi="Times New Roman"/>
          <w:b/>
          <w:bCs/>
          <w:color w:val="auto"/>
          <w:highlight w:val="none"/>
          <w:lang w:eastAsia="zh-CN"/>
        </w:rPr>
        <w:t>。</w:t>
      </w:r>
    </w:p>
    <w:p w14:paraId="72FD8F0B">
      <w:pPr>
        <w:pageBreakBefore w:val="0"/>
        <w:kinsoku/>
        <w:overflowPunct/>
        <w:topLinePunct w:val="0"/>
        <w:autoSpaceDE/>
        <w:autoSpaceDN/>
        <w:bidi w:val="0"/>
        <w:adjustRightInd/>
        <w:snapToGrid/>
        <w:spacing w:line="590" w:lineRule="exact"/>
        <w:ind w:firstLine="640" w:firstLineChars="200"/>
        <w:rPr>
          <w:rFonts w:hint="default" w:ascii="Times New Roman" w:hAnsi="Times New Roman"/>
          <w:color w:val="auto"/>
          <w:highlight w:val="none"/>
        </w:rPr>
      </w:pPr>
      <w:r>
        <w:rPr>
          <w:rFonts w:hint="default" w:ascii="Times New Roman" w:hAnsi="Times New Roman"/>
          <w:color w:val="auto"/>
          <w:highlight w:val="none"/>
        </w:rPr>
        <w:t>狮头鹅产业利润势头好，具有繁殖快、体型大、肉质美、经济价值高等特点，是广东省内最适合生产肥鹅肝的品种，肥鹅肝媲美法国鹅肝。狮头鹅鹅苗价格在40-60元之间，单鹅产品价值在400-1500元之间，养殖三年以上的老鹅胶质丰富，价值在1500元以上，鹅头脖子市场价能上1200元，是全国鹅品种中价值最高的鹅。</w:t>
      </w:r>
    </w:p>
    <w:p w14:paraId="3F8DCA90">
      <w:pPr>
        <w:pageBreakBefore w:val="0"/>
        <w:kinsoku/>
        <w:overflowPunct/>
        <w:topLinePunct w:val="0"/>
        <w:autoSpaceDE/>
        <w:autoSpaceDN/>
        <w:bidi w:val="0"/>
        <w:adjustRightInd/>
        <w:snapToGrid/>
        <w:spacing w:line="590" w:lineRule="exact"/>
        <w:ind w:firstLine="643" w:firstLineChars="200"/>
        <w:rPr>
          <w:rFonts w:hint="eastAsia" w:ascii="Times New Roman" w:hAnsi="Times New Roman"/>
          <w:b/>
          <w:bCs/>
          <w:color w:val="auto"/>
          <w:highlight w:val="none"/>
          <w:lang w:eastAsia="zh-CN"/>
        </w:rPr>
      </w:pPr>
      <w:r>
        <w:rPr>
          <w:rFonts w:hint="eastAsia" w:ascii="Times New Roman" w:hAnsi="Times New Roman"/>
          <w:b/>
          <w:bCs/>
          <w:color w:val="auto"/>
          <w:highlight w:val="none"/>
          <w:lang w:val="en-US" w:eastAsia="zh-CN"/>
        </w:rPr>
        <w:t>4.</w:t>
      </w:r>
      <w:r>
        <w:rPr>
          <w:rFonts w:hint="default" w:ascii="Times New Roman" w:hAnsi="Times New Roman"/>
          <w:b/>
          <w:bCs/>
          <w:color w:val="auto"/>
          <w:highlight w:val="none"/>
        </w:rPr>
        <w:t>世界上文化底蕴最深厚的鹅</w:t>
      </w:r>
      <w:r>
        <w:rPr>
          <w:rFonts w:hint="eastAsia" w:ascii="Times New Roman" w:hAnsi="Times New Roman"/>
          <w:b/>
          <w:bCs/>
          <w:color w:val="auto"/>
          <w:highlight w:val="none"/>
          <w:lang w:eastAsia="zh-CN"/>
        </w:rPr>
        <w:t>。</w:t>
      </w:r>
    </w:p>
    <w:p w14:paraId="5DDD7B23">
      <w:pPr>
        <w:pageBreakBefore w:val="0"/>
        <w:kinsoku/>
        <w:overflowPunct/>
        <w:topLinePunct w:val="0"/>
        <w:autoSpaceDE/>
        <w:autoSpaceDN/>
        <w:bidi w:val="0"/>
        <w:adjustRightInd/>
        <w:snapToGrid/>
        <w:spacing w:line="590" w:lineRule="exact"/>
        <w:ind w:firstLine="640" w:firstLineChars="200"/>
        <w:rPr>
          <w:rFonts w:hint="default" w:ascii="Times New Roman" w:hAnsi="Times New Roman"/>
          <w:color w:val="auto"/>
          <w:highlight w:val="none"/>
        </w:rPr>
      </w:pPr>
      <w:r>
        <w:rPr>
          <w:rFonts w:hint="default" w:ascii="Times New Roman" w:hAnsi="Times New Roman"/>
          <w:color w:val="auto"/>
          <w:highlight w:val="none"/>
        </w:rPr>
        <w:t>据史料记载，从明朝嘉靖年间，澄海狮头鹅</w:t>
      </w:r>
      <w:r>
        <w:rPr>
          <w:rFonts w:hint="default" w:ascii="Times New Roman" w:hAnsi="Times New Roman"/>
          <w:b/>
          <w:bCs/>
          <w:color w:val="auto"/>
          <w:highlight w:val="none"/>
        </w:rPr>
        <w:t>至今已有300多年历史</w:t>
      </w:r>
      <w:r>
        <w:rPr>
          <w:rFonts w:hint="default" w:ascii="Times New Roman" w:hAnsi="Times New Roman"/>
          <w:color w:val="auto"/>
          <w:highlight w:val="none"/>
        </w:rPr>
        <w:t>溯源。早在1957年广东省农业厅在澄海县建立了全省第一个种鹅繁殖场，同年广东省澄海县月浦乡出产的“狮头鹅”在全国展览中展出，</w:t>
      </w:r>
      <w:r>
        <w:rPr>
          <w:rFonts w:hint="eastAsia" w:ascii="Times New Roman" w:hAnsi="Times New Roman"/>
          <w:color w:val="auto"/>
          <w:highlight w:val="none"/>
          <w:lang w:eastAsia="zh-CN"/>
        </w:rPr>
        <w:t>声名大噪</w:t>
      </w:r>
      <w:r>
        <w:rPr>
          <w:rFonts w:hint="default" w:ascii="Times New Roman" w:hAnsi="Times New Roman"/>
          <w:color w:val="auto"/>
          <w:highlight w:val="none"/>
        </w:rPr>
        <w:t>；1958年狮头鹅作为汕头鹅种的代表到北京参加全国农业社会主义建设先进单位代表大会，荣获周恩来总理亲自签字授予的国务院奖状，给予澄海狮头鹅国务院最高礼遇；潮汕文化赋予狮头鹅吉利、大气的寓意，20世纪50年代末以澄海狮头鹅为原型创作出澄海传统动物舞蹈“双咬鹅舞”，</w:t>
      </w:r>
      <w:r>
        <w:rPr>
          <w:rFonts w:hint="eastAsia" w:ascii="Times New Roman" w:hAnsi="Times New Roman"/>
          <w:color w:val="auto"/>
          <w:highlight w:val="none"/>
          <w:lang w:eastAsia="zh-CN"/>
        </w:rPr>
        <w:t>闻名遐迩</w:t>
      </w:r>
      <w:r>
        <w:rPr>
          <w:rFonts w:hint="default" w:ascii="Times New Roman" w:hAnsi="Times New Roman"/>
          <w:color w:val="auto"/>
          <w:highlight w:val="none"/>
        </w:rPr>
        <w:t>；20世纪70年代末中央新闻纪录电影制片厂，在澄海白沙原种场摄制《澄海特产狮头鹅》新闻纪录巨片，成为</w:t>
      </w:r>
      <w:r>
        <w:rPr>
          <w:rFonts w:hint="eastAsia" w:ascii="Times New Roman" w:hAnsi="Times New Roman"/>
          <w:color w:val="auto"/>
          <w:highlight w:val="none"/>
          <w:lang w:eastAsia="zh-CN"/>
        </w:rPr>
        <w:t>新中国成立30周年</w:t>
      </w:r>
      <w:r>
        <w:rPr>
          <w:rFonts w:hint="default" w:ascii="Times New Roman" w:hAnsi="Times New Roman"/>
          <w:color w:val="auto"/>
          <w:highlight w:val="none"/>
        </w:rPr>
        <w:t>献礼的精品杰作，在全球引起巨大轰动；1989年被《中国家禽品种志》收录，2000年被列入国家级畜禽品种资源保护名录；2000年2月陈厝洲双咬鹅队参加新加坡第二十八届妆艺大游行，广受瞩目；2006年列入《国家畜禽遗传资源保护名录》；2008年中国政府将100枚澄海狮头鹅受精蛋赠送泰国王后作为礼物，获得出国“绿卡”并落户泰国曼谷，用于“泰国王后农业项目”，对促进中泰两国的友好关系发挥了积极作用；2018年狮头鹅被引进到柬埔寨、非洲等地饲养；2020年10月习近平总书记评价“</w:t>
      </w:r>
      <w:r>
        <w:rPr>
          <w:rFonts w:hint="default" w:ascii="Times New Roman" w:hAnsi="Times New Roman"/>
          <w:color w:val="auto"/>
          <w:highlight w:val="none"/>
          <w:lang w:val="en-US" w:eastAsia="zh-CN"/>
        </w:rPr>
        <w:t>潮菜是中华文化的瑰宝</w:t>
      </w:r>
      <w:r>
        <w:rPr>
          <w:rFonts w:hint="default" w:ascii="Times New Roman" w:hAnsi="Times New Roman"/>
          <w:color w:val="auto"/>
          <w:highlight w:val="none"/>
        </w:rPr>
        <w:t>”，澄海狮头鹅是潮菜之首，给予了狮头鹅充分肯定。</w:t>
      </w:r>
    </w:p>
    <w:p w14:paraId="437C7DCB">
      <w:pPr>
        <w:pageBreakBefore w:val="0"/>
        <w:kinsoku/>
        <w:overflowPunct/>
        <w:topLinePunct w:val="0"/>
        <w:autoSpaceDE/>
        <w:autoSpaceDN/>
        <w:bidi w:val="0"/>
        <w:adjustRightInd/>
        <w:snapToGrid/>
        <w:spacing w:line="590" w:lineRule="exact"/>
        <w:ind w:firstLine="643"/>
        <w:rPr>
          <w:rFonts w:hint="default" w:ascii="Times New Roman" w:hAnsi="Times New Roman"/>
          <w:color w:val="auto"/>
          <w:highlight w:val="none"/>
        </w:rPr>
      </w:pPr>
      <w:r>
        <w:rPr>
          <w:rFonts w:hint="default" w:ascii="Times New Roman" w:hAnsi="Times New Roman"/>
          <w:b/>
          <w:bCs/>
          <w:color w:val="auto"/>
          <w:highlight w:val="none"/>
        </w:rPr>
        <w:t>澄海狮头鹅是非遗传承，</w:t>
      </w:r>
      <w:r>
        <w:rPr>
          <w:rFonts w:hint="default" w:ascii="Times New Roman" w:hAnsi="Times New Roman"/>
          <w:color w:val="auto"/>
          <w:highlight w:val="none"/>
        </w:rPr>
        <w:t>“鹅”美食已成为潮汕文化的一个符号，是众多海内外潮人记住乡愁、回味乡情的重要情结，也是潮汕美食文化名片。卤狮头鹅是节庆必不可缺的饭桌佳肴，</w:t>
      </w:r>
      <w:r>
        <w:rPr>
          <w:rFonts w:hint="default" w:ascii="Times New Roman" w:hAnsi="Times New Roman"/>
          <w:b w:val="0"/>
          <w:bCs w:val="0"/>
          <w:color w:val="auto"/>
          <w:highlight w:val="none"/>
        </w:rPr>
        <w:t>澄海区建立卤鹅研究院，“卤鹅制作工艺（澄海）”是市级非物质文化遗产</w:t>
      </w:r>
      <w:r>
        <w:rPr>
          <w:rFonts w:hint="default" w:ascii="Times New Roman" w:hAnsi="Times New Roman"/>
          <w:color w:val="auto"/>
          <w:highlight w:val="none"/>
        </w:rPr>
        <w:t>。</w:t>
      </w:r>
      <w:r>
        <w:rPr>
          <w:rFonts w:hint="eastAsia" w:ascii="Times New Roman" w:hAnsi="Times New Roman"/>
          <w:color w:val="auto"/>
          <w:highlight w:val="none"/>
          <w:lang w:val="en-US" w:eastAsia="zh-CN"/>
        </w:rPr>
        <w:t>依托全国70%的出口玩具来自澄海的“世界玩具之都”优势</w:t>
      </w:r>
      <w:r>
        <w:rPr>
          <w:rFonts w:hint="default" w:ascii="Times New Roman" w:hAnsi="Times New Roman"/>
          <w:color w:val="auto"/>
          <w:highlight w:val="none"/>
        </w:rPr>
        <w:t>，一批以狮头鹅为题材的玩具、文具、动漫、影视等文创产品发展迅速</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开发狮头鹅文创产品1000多种</w:t>
      </w:r>
      <w:r>
        <w:rPr>
          <w:rFonts w:hint="default" w:ascii="Times New Roman" w:hAnsi="Times New Roman"/>
          <w:color w:val="auto"/>
          <w:highlight w:val="none"/>
        </w:rPr>
        <w:t>。澄海区对鹅美食展示体验、鹅文化创新融合等进行整合升级创新发展，打造了狮头鹅餐饮文化传承一条街，</w:t>
      </w:r>
      <w:r>
        <w:rPr>
          <w:rFonts w:hint="default" w:ascii="Times New Roman" w:hAnsi="Times New Roman"/>
          <w:b w:val="0"/>
          <w:bCs w:val="0"/>
          <w:color w:val="auto"/>
          <w:highlight w:val="none"/>
        </w:rPr>
        <w:t>建立</w:t>
      </w:r>
      <w:r>
        <w:rPr>
          <w:rFonts w:hint="eastAsia" w:ascii="Times New Roman" w:hAnsi="Times New Roman"/>
          <w:b w:val="0"/>
          <w:bCs w:val="0"/>
          <w:color w:val="auto"/>
          <w:highlight w:val="none"/>
          <w:lang w:eastAsia="zh-CN"/>
        </w:rPr>
        <w:t>了</w:t>
      </w:r>
      <w:r>
        <w:rPr>
          <w:rFonts w:hint="default" w:ascii="Times New Roman" w:hAnsi="Times New Roman"/>
          <w:b w:val="0"/>
          <w:bCs w:val="0"/>
          <w:color w:val="auto"/>
          <w:highlight w:val="none"/>
        </w:rPr>
        <w:t>澄海狮头鹅文化展厅，</w:t>
      </w:r>
      <w:r>
        <w:rPr>
          <w:rFonts w:hint="eastAsia" w:ascii="Times New Roman" w:hAnsi="Times New Roman"/>
          <w:b w:val="0"/>
          <w:bCs w:val="0"/>
          <w:color w:val="auto"/>
          <w:highlight w:val="none"/>
          <w:lang w:eastAsia="zh-CN"/>
        </w:rPr>
        <w:t>汕特</w:t>
      </w:r>
      <w:r>
        <w:rPr>
          <w:rFonts w:hint="default" w:ascii="Times New Roman" w:hAnsi="Times New Roman"/>
          <w:b w:val="0"/>
          <w:bCs w:val="0"/>
          <w:color w:val="auto"/>
          <w:highlight w:val="none"/>
        </w:rPr>
        <w:t>日日香建立澄海狮头鹅文化主题馆</w:t>
      </w:r>
      <w:r>
        <w:rPr>
          <w:rFonts w:hint="default" w:ascii="Times New Roman" w:hAnsi="Times New Roman"/>
          <w:color w:val="auto"/>
          <w:highlight w:val="none"/>
        </w:rPr>
        <w:t>，展馆首创“十分钟了解狮头鹅”的精品馆理念，由狮头鹅的基础知识、潮汕“鹅”文化、潮汕卤水、现代鹅产业及政府产业支持等五个部分组成，让参观者详细了解澄海狮头鹅的相关信息。同时建立了2022广东汕头澄海“云上鹅市”，设置“云上鹅文化馆”“VR看鹅”等板块，可全方位了解“潮汕鹅文化”。</w:t>
      </w:r>
    </w:p>
    <w:p w14:paraId="189F6CBB">
      <w:pPr>
        <w:pageBreakBefore w:val="0"/>
        <w:kinsoku/>
        <w:overflowPunct/>
        <w:topLinePunct w:val="0"/>
        <w:autoSpaceDE/>
        <w:autoSpaceDN/>
        <w:bidi w:val="0"/>
        <w:adjustRightInd/>
        <w:snapToGrid/>
        <w:spacing w:line="590" w:lineRule="exact"/>
        <w:ind w:firstLine="643" w:firstLineChars="200"/>
        <w:rPr>
          <w:rFonts w:hint="eastAsia" w:ascii="Times New Roman" w:hAnsi="Times New Roman"/>
          <w:b/>
          <w:bCs/>
          <w:color w:val="auto"/>
          <w:highlight w:val="none"/>
          <w:lang w:eastAsia="zh-CN"/>
        </w:rPr>
      </w:pPr>
      <w:r>
        <w:rPr>
          <w:rFonts w:hint="eastAsia" w:ascii="Times New Roman" w:hAnsi="Times New Roman"/>
          <w:b/>
          <w:bCs/>
          <w:color w:val="auto"/>
          <w:highlight w:val="none"/>
          <w:lang w:val="en-US" w:eastAsia="zh-CN"/>
        </w:rPr>
        <w:t>5.</w:t>
      </w:r>
      <w:r>
        <w:rPr>
          <w:rFonts w:hint="default" w:ascii="Times New Roman" w:hAnsi="Times New Roman"/>
          <w:b/>
          <w:bCs/>
          <w:color w:val="auto"/>
          <w:highlight w:val="none"/>
        </w:rPr>
        <w:t>世界上最有特色的烹饪做法</w:t>
      </w:r>
      <w:r>
        <w:rPr>
          <w:rFonts w:hint="eastAsia" w:ascii="Times New Roman" w:hAnsi="Times New Roman"/>
          <w:b/>
          <w:bCs/>
          <w:color w:val="auto"/>
          <w:highlight w:val="none"/>
          <w:lang w:eastAsia="zh-CN"/>
        </w:rPr>
        <w:t>。</w:t>
      </w:r>
    </w:p>
    <w:p w14:paraId="7E41FD89">
      <w:pPr>
        <w:pageBreakBefore w:val="0"/>
        <w:kinsoku/>
        <w:overflowPunct/>
        <w:topLinePunct w:val="0"/>
        <w:autoSpaceDE/>
        <w:autoSpaceDN/>
        <w:bidi w:val="0"/>
        <w:adjustRightInd/>
        <w:snapToGrid/>
        <w:spacing w:line="590" w:lineRule="exact"/>
        <w:ind w:firstLine="640" w:firstLineChars="200"/>
        <w:rPr>
          <w:rFonts w:hint="default" w:ascii="Times New Roman" w:hAnsi="Times New Roman"/>
          <w:color w:val="auto"/>
          <w:highlight w:val="none"/>
        </w:rPr>
      </w:pPr>
      <w:r>
        <w:rPr>
          <w:rFonts w:hint="default" w:ascii="Times New Roman" w:hAnsi="Times New Roman"/>
          <w:color w:val="auto"/>
          <w:highlight w:val="none"/>
        </w:rPr>
        <w:t>潮汕卤味是八大菜系中唯一使用的烹饪方式，澄海卤鹅采用“高品质狮头鹅+独特卤水”的方式进行烹饪，成为潮汕地区传统名菜，广受世界各地食客好评，2018年被评为“中国菜”之广东十大经典名菜。</w:t>
      </w:r>
    </w:p>
    <w:p w14:paraId="0B6208D1">
      <w:pPr>
        <w:pageBreakBefore w:val="0"/>
        <w:kinsoku/>
        <w:overflowPunct/>
        <w:topLinePunct w:val="0"/>
        <w:autoSpaceDE/>
        <w:autoSpaceDN/>
        <w:bidi w:val="0"/>
        <w:adjustRightInd/>
        <w:snapToGrid/>
        <w:spacing w:line="590" w:lineRule="exact"/>
        <w:rPr>
          <w:rFonts w:hint="default" w:ascii="Times New Roman" w:hAnsi="Times New Roman"/>
          <w:color w:val="auto"/>
          <w:highlight w:val="none"/>
        </w:rPr>
      </w:pPr>
      <w:r>
        <w:rPr>
          <w:rFonts w:hint="default" w:ascii="Times New Roman" w:hAnsi="Times New Roman"/>
          <w:b/>
          <w:bCs/>
          <w:color w:val="auto"/>
          <w:highlight w:val="none"/>
        </w:rPr>
        <w:t>一是澄海狮头鹅肉质鲜美</w:t>
      </w:r>
      <w:r>
        <w:rPr>
          <w:rFonts w:hint="default" w:ascii="Times New Roman" w:hAnsi="Times New Roman"/>
          <w:color w:val="auto"/>
          <w:highlight w:val="none"/>
        </w:rPr>
        <w:t>。</w:t>
      </w:r>
      <w:r>
        <w:rPr>
          <w:rFonts w:hint="default" w:ascii="Times New Roman" w:hAnsi="Times New Roman"/>
          <w:b w:val="0"/>
          <w:bCs w:val="0"/>
          <w:color w:val="auto"/>
          <w:highlight w:val="none"/>
        </w:rPr>
        <w:t>采取“好品种+好水质+好</w:t>
      </w:r>
      <w:r>
        <w:rPr>
          <w:rFonts w:hint="eastAsia" w:ascii="Times New Roman" w:hAnsi="Times New Roman"/>
          <w:b w:val="0"/>
          <w:bCs w:val="0"/>
          <w:color w:val="auto"/>
          <w:highlight w:val="none"/>
          <w:lang w:val="en-US" w:eastAsia="zh-CN"/>
        </w:rPr>
        <w:t>食</w:t>
      </w:r>
      <w:r>
        <w:rPr>
          <w:rFonts w:hint="default" w:ascii="Times New Roman" w:hAnsi="Times New Roman"/>
          <w:b w:val="0"/>
          <w:bCs w:val="0"/>
          <w:color w:val="auto"/>
          <w:highlight w:val="none"/>
        </w:rPr>
        <w:t>料”三好饲养方式进行养殖</w:t>
      </w:r>
      <w:r>
        <w:rPr>
          <w:rFonts w:hint="default" w:ascii="Times New Roman" w:hAnsi="Times New Roman"/>
          <w:color w:val="auto"/>
          <w:highlight w:val="none"/>
        </w:rPr>
        <w:t>，即狮头鹅养殖者高度重视每一代狮头鹅的选种，包括体重、长势、羽绒等，选出优质的狮头鹅来培育下一代、引用韩江优质水源用于狮头鹅养殖及选用优质、卫生的青草、饲料、稻谷喂养。</w:t>
      </w:r>
    </w:p>
    <w:p w14:paraId="40A1D010">
      <w:pPr>
        <w:pageBreakBefore w:val="0"/>
        <w:kinsoku/>
        <w:overflowPunct/>
        <w:topLinePunct w:val="0"/>
        <w:autoSpaceDE/>
        <w:autoSpaceDN/>
        <w:bidi w:val="0"/>
        <w:adjustRightInd/>
        <w:snapToGrid/>
        <w:spacing w:line="590" w:lineRule="exact"/>
        <w:rPr>
          <w:rFonts w:hint="default" w:ascii="Times New Roman" w:hAnsi="Times New Roman"/>
          <w:color w:val="auto"/>
          <w:highlight w:val="none"/>
          <w:lang w:val="en-US" w:eastAsia="zh-CN"/>
        </w:rPr>
      </w:pPr>
      <w:r>
        <w:rPr>
          <w:rFonts w:hint="default" w:ascii="Times New Roman" w:hAnsi="Times New Roman"/>
          <w:b/>
          <w:bCs/>
          <w:color w:val="auto"/>
          <w:highlight w:val="none"/>
          <w:lang w:val="en-US" w:eastAsia="zh-CN"/>
        </w:rPr>
        <w:t>二是独特卤水口味一流</w:t>
      </w:r>
      <w:r>
        <w:rPr>
          <w:rFonts w:hint="default" w:ascii="Times New Roman" w:hAnsi="Times New Roman"/>
          <w:color w:val="auto"/>
          <w:highlight w:val="none"/>
          <w:lang w:val="en-US" w:eastAsia="zh-CN"/>
        </w:rPr>
        <w:t>。澄海狮头鹅是潮汕卤水中最传统和正宗的，2007年日本大坂府中日友好协会会长铃木先生（时年81岁）来澄海参加中日红树林种植仪式，</w:t>
      </w:r>
      <w:r>
        <w:rPr>
          <w:rFonts w:hint="eastAsia" w:ascii="Times New Roman" w:hAnsi="Times New Roman"/>
          <w:color w:val="auto"/>
          <w:highlight w:val="none"/>
          <w:lang w:val="en-US" w:eastAsia="zh-CN"/>
        </w:rPr>
        <w:t>高度赞扬澄海狮头鹅并称赞从没吃过一种如此美味的食物；</w:t>
      </w:r>
      <w:r>
        <w:rPr>
          <w:rFonts w:hint="default" w:ascii="Times New Roman" w:hAnsi="Times New Roman"/>
          <w:color w:val="auto"/>
          <w:highlight w:val="none"/>
          <w:lang w:val="en-US" w:eastAsia="zh-CN"/>
        </w:rPr>
        <w:t>香港美食家蔡澜评价卤水澄海狮头鹅“天庭的美味”。选用香味纯正之肉桂、八角、丁香、香草、小茴等十八味香料；糖、米酒、蒜头、南姜，遵古制作，过水吊汤，文火炮制。采取当地传承独家的香料配方和卤制方法，确保鹅肉的口感与味道，并摒弃传统的老卤手法，使用新调的卤汁，坚持每日现宰现卤。园内日日香鹅肉饭店吸引了</w:t>
      </w:r>
      <w:r>
        <w:rPr>
          <w:rFonts w:hint="eastAsia" w:ascii="Times New Roman" w:hAnsi="Times New Roman"/>
          <w:color w:val="auto"/>
          <w:highlight w:val="none"/>
          <w:lang w:val="en-US" w:eastAsia="zh-CN"/>
        </w:rPr>
        <w:t>《走进乡村看小康》</w:t>
      </w:r>
      <w:r>
        <w:rPr>
          <w:rFonts w:hint="default" w:ascii="Times New Roman" w:hAnsi="Times New Roman"/>
          <w:color w:val="auto"/>
          <w:highlight w:val="none"/>
          <w:lang w:val="en-US" w:eastAsia="zh-CN"/>
        </w:rPr>
        <w:t>《舌尖上的中国》《谁知盘中餐》《经济半小时》《风味人间》《老广的味道》《远方的家》《乡土》等众多媒体栏目为狮头鹅美食和文化做专题报道。</w:t>
      </w:r>
    </w:p>
    <w:p w14:paraId="2CEB06C7">
      <w:pPr>
        <w:pStyle w:val="4"/>
        <w:pageBreakBefore w:val="0"/>
        <w:kinsoku/>
        <w:overflowPunct/>
        <w:topLinePunct w:val="0"/>
        <w:autoSpaceDE/>
        <w:autoSpaceDN/>
        <w:bidi w:val="0"/>
        <w:adjustRightInd/>
        <w:snapToGrid/>
        <w:spacing w:line="240" w:lineRule="auto"/>
        <w:rPr>
          <w:rFonts w:hint="eastAsia" w:ascii="Times New Roman" w:hAnsi="Times New Roman" w:cs="仿宋_GB2312"/>
          <w:b/>
          <w:bCs w:val="0"/>
          <w:color w:val="auto"/>
          <w:sz w:val="32"/>
          <w:szCs w:val="32"/>
          <w:highlight w:val="none"/>
          <w:lang w:val="en-US" w:eastAsia="zh-CN"/>
        </w:rPr>
      </w:pPr>
      <w:r>
        <w:rPr>
          <w:rFonts w:hint="eastAsia" w:ascii="Times New Roman" w:hAnsi="Times New Roman" w:cs="仿宋_GB2312"/>
          <w:b/>
          <w:bCs w:val="0"/>
          <w:color w:val="auto"/>
          <w:sz w:val="32"/>
          <w:szCs w:val="32"/>
          <w:highlight w:val="none"/>
          <w:lang w:val="en-US" w:eastAsia="zh-CN"/>
        </w:rPr>
        <w:t>2.狮头鹅产业发展空间广阔</w:t>
      </w:r>
    </w:p>
    <w:p w14:paraId="1255B056">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b/>
          <w:bCs/>
          <w:color w:val="auto"/>
          <w:sz w:val="32"/>
          <w:szCs w:val="32"/>
          <w:highlight w:val="none"/>
          <w:lang w:val="en-US" w:eastAsia="zh-CN"/>
        </w:rPr>
        <w:t>从</w:t>
      </w:r>
      <w:r>
        <w:rPr>
          <w:rFonts w:hint="eastAsia" w:ascii="Times New Roman" w:hAnsi="Times New Roman" w:cs="仿宋_GB2312"/>
          <w:b/>
          <w:bCs/>
          <w:color w:val="auto"/>
          <w:sz w:val="32"/>
          <w:szCs w:val="32"/>
          <w:highlight w:val="none"/>
          <w:lang w:val="en-US" w:eastAsia="zh-CN"/>
        </w:rPr>
        <w:t>市场</w:t>
      </w:r>
      <w:r>
        <w:rPr>
          <w:rFonts w:hint="eastAsia" w:ascii="Times New Roman" w:hAnsi="Times New Roman" w:eastAsia="仿宋_GB2312" w:cs="仿宋_GB2312"/>
          <w:b/>
          <w:bCs/>
          <w:color w:val="auto"/>
          <w:sz w:val="32"/>
          <w:szCs w:val="32"/>
          <w:highlight w:val="none"/>
          <w:lang w:val="en-US" w:eastAsia="zh-CN"/>
        </w:rPr>
        <w:t>需求方面来看</w:t>
      </w:r>
      <w:r>
        <w:rPr>
          <w:rFonts w:hint="eastAsia" w:ascii="Times New Roman" w:hAnsi="Times New Roman" w:eastAsia="仿宋_GB2312" w:cs="仿宋_GB2312"/>
          <w:color w:val="auto"/>
          <w:sz w:val="32"/>
          <w:szCs w:val="32"/>
          <w:highlight w:val="none"/>
          <w:lang w:val="en-US" w:eastAsia="zh-CN"/>
        </w:rPr>
        <w:t>，随着人民生活水平的不断提高，人们对健康高品质食品的需求不断增长。鹅肉是一种高蛋白、低脂肪、低胆固醇的健康食品，鹅肉是世界卫生组织推荐三大健康肉食动物之首，深受消费者喜爱，我国鹅养殖量、出栏量、鹅肉产品和鹅羽绒制品</w:t>
      </w:r>
      <w:r>
        <w:rPr>
          <w:rFonts w:hint="eastAsia" w:ascii="Times New Roman" w:hAnsi="Times New Roman" w:cs="仿宋_GB2312"/>
          <w:color w:val="auto"/>
          <w:sz w:val="32"/>
          <w:szCs w:val="32"/>
          <w:highlight w:val="none"/>
          <w:lang w:val="en-US" w:eastAsia="zh-CN"/>
        </w:rPr>
        <w:t>产销量</w:t>
      </w:r>
      <w:r>
        <w:rPr>
          <w:rFonts w:hint="eastAsia" w:ascii="Times New Roman" w:hAnsi="Times New Roman" w:eastAsia="仿宋_GB2312" w:cs="仿宋_GB2312"/>
          <w:color w:val="auto"/>
          <w:sz w:val="32"/>
          <w:szCs w:val="32"/>
          <w:highlight w:val="none"/>
          <w:lang w:val="en-US" w:eastAsia="zh-CN"/>
        </w:rPr>
        <w:t>均居世界首位，2021年，我国商品鹅近年平均年出栏量约6.7亿只，鹅绒产量约4万吨，占全球总量的80%以上，约有3亿只市场缺口，发展前景广阔。</w:t>
      </w:r>
    </w:p>
    <w:p w14:paraId="495D0E8C">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b/>
          <w:bCs/>
          <w:color w:val="auto"/>
          <w:sz w:val="32"/>
          <w:szCs w:val="32"/>
          <w:highlight w:val="none"/>
          <w:lang w:val="en-US" w:eastAsia="zh-CN"/>
        </w:rPr>
        <w:t>从国家战略方面来看，</w:t>
      </w:r>
      <w:r>
        <w:rPr>
          <w:rFonts w:hint="eastAsia" w:ascii="Times New Roman" w:hAnsi="Times New Roman" w:eastAsia="仿宋_GB2312" w:cs="仿宋_GB2312"/>
          <w:color w:val="auto"/>
          <w:sz w:val="32"/>
          <w:szCs w:val="32"/>
          <w:highlight w:val="none"/>
          <w:lang w:val="en-US" w:eastAsia="zh-CN"/>
        </w:rPr>
        <w:t>鹅是喜欢大量采食青草等粗料的家禽，可以节约大量粮食，带动我国种植业结构由“粮食作物+经济作物”二元结构向“粮食作物+经济作物+饲料作物+草”四元结构转变，能减少畜牧业对粮食的依赖，发展养鹅业符合畜牧业生产结构调整的方向。</w:t>
      </w:r>
    </w:p>
    <w:p w14:paraId="6DE3051D">
      <w:pPr>
        <w:pStyle w:val="15"/>
        <w:keepNext w:val="0"/>
        <w:keepLines w:val="0"/>
        <w:pageBreakBefore w:val="0"/>
        <w:kinsoku/>
        <w:overflowPunct/>
        <w:topLinePunct w:val="0"/>
        <w:autoSpaceDE/>
        <w:autoSpaceDN/>
        <w:bidi w:val="0"/>
        <w:adjustRightInd/>
        <w:snapToGrid/>
        <w:spacing w:line="590" w:lineRule="exact"/>
        <w:ind w:firstLine="643" w:firstLineChars="200"/>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b/>
          <w:bCs/>
          <w:color w:val="auto"/>
          <w:sz w:val="32"/>
          <w:szCs w:val="32"/>
          <w:highlight w:val="none"/>
          <w:lang w:val="en-US" w:eastAsia="zh-CN"/>
        </w:rPr>
        <w:t>从供应方面来看，</w:t>
      </w:r>
      <w:r>
        <w:rPr>
          <w:rFonts w:hint="eastAsia" w:ascii="Times New Roman" w:hAnsi="Times New Roman" w:eastAsia="仿宋_GB2312" w:cs="仿宋_GB2312"/>
          <w:color w:val="auto"/>
          <w:sz w:val="32"/>
          <w:szCs w:val="32"/>
          <w:highlight w:val="none"/>
          <w:lang w:val="en-US" w:eastAsia="zh-CN"/>
        </w:rPr>
        <w:t>在中国，鹅肉的产量比较集中，主要分布在广东、福建、江苏等省份，占全国鹅肉产量的50%以上，其中，广东鹅肉的质量最好，而狮头鹅为广东四大名鹅之首，在国内外市场上很有竞争力。</w:t>
      </w:r>
    </w:p>
    <w:p w14:paraId="44BA99A0">
      <w:pPr>
        <w:pStyle w:val="15"/>
        <w:keepNext w:val="0"/>
        <w:keepLines w:val="0"/>
        <w:pageBreakBefore w:val="0"/>
        <w:kinsoku/>
        <w:overflowPunct/>
        <w:topLinePunct w:val="0"/>
        <w:autoSpaceDE/>
        <w:autoSpaceDN/>
        <w:bidi w:val="0"/>
        <w:adjustRightInd/>
        <w:snapToGrid/>
        <w:spacing w:line="590" w:lineRule="exact"/>
        <w:ind w:firstLine="643" w:firstLineChars="200"/>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b/>
          <w:bCs/>
          <w:color w:val="auto"/>
          <w:sz w:val="32"/>
          <w:szCs w:val="32"/>
          <w:highlight w:val="none"/>
          <w:lang w:val="en-US" w:eastAsia="zh-CN"/>
        </w:rPr>
        <w:t>从发展模式来看，</w:t>
      </w:r>
      <w:r>
        <w:rPr>
          <w:rFonts w:hint="eastAsia" w:ascii="Times New Roman" w:hAnsi="Times New Roman" w:eastAsia="仿宋_GB2312" w:cs="仿宋_GB2312"/>
          <w:color w:val="auto"/>
          <w:sz w:val="32"/>
          <w:szCs w:val="32"/>
          <w:highlight w:val="none"/>
          <w:lang w:val="en-US" w:eastAsia="zh-CN"/>
        </w:rPr>
        <w:t>澄海区充分利用狮头鹅体型大的优势，开发了各种增值型食材，从街头巷尾平价“鹅肉饭”，到餐桌上的“鹅八珍”（包括鹅头、鹅肝、鹅掌、鹅翅、鹅胗、鹅肠、鹅肉和鹅红），再到高端餐厅的售价超千元的老鹅头，以及特色的卤粉肝。优质的鹅食品获得的良好消费收益，通过产业链被合理分配到狮头鹅的养殖生产中，形成了消费和生产紧密结合的良性发展模式。</w:t>
      </w:r>
    </w:p>
    <w:p w14:paraId="6F3AE4D9">
      <w:pPr>
        <w:pStyle w:val="14"/>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总体来说狮头鹅市场前景乐观，随着技术的不断改进，狮头鹅的养殖成本逐步降低，生产效率不断提高，为行业的发展提供了新契机。规模化养殖、屠宰加工业、预制菜、电商行业的发展，极大</w:t>
      </w:r>
      <w:r>
        <w:rPr>
          <w:rFonts w:hint="eastAsia" w:ascii="Times New Roman" w:hAnsi="Times New Roman" w:cs="仿宋_GB2312"/>
          <w:color w:val="auto"/>
          <w:sz w:val="32"/>
          <w:szCs w:val="32"/>
          <w:highlight w:val="none"/>
          <w:lang w:val="en-US" w:eastAsia="zh-CN"/>
        </w:rPr>
        <w:t>地</w:t>
      </w:r>
      <w:r>
        <w:rPr>
          <w:rFonts w:hint="eastAsia" w:ascii="Times New Roman" w:hAnsi="Times New Roman" w:eastAsia="仿宋_GB2312" w:cs="仿宋_GB2312"/>
          <w:color w:val="auto"/>
          <w:sz w:val="32"/>
          <w:szCs w:val="32"/>
          <w:highlight w:val="none"/>
          <w:lang w:val="en-US" w:eastAsia="zh-CN"/>
        </w:rPr>
        <w:t>提高了狮头鹅生产能力和市场供应能力，狮头鹅产品往多元化方向发展，在满足国内市场的基础上往海外市场不断拓展。</w:t>
      </w:r>
    </w:p>
    <w:p w14:paraId="5966C791">
      <w:pPr>
        <w:pStyle w:val="4"/>
        <w:rPr>
          <w:rFonts w:hint="default" w:ascii="Times New Roman" w:hAnsi="Times New Roman" w:cs="仿宋_GB2312"/>
          <w:b/>
          <w:bCs w:val="0"/>
          <w:color w:val="auto"/>
          <w:szCs w:val="32"/>
          <w:highlight w:val="none"/>
          <w:lang w:val="en-US" w:eastAsia="zh-CN"/>
        </w:rPr>
      </w:pPr>
      <w:r>
        <w:rPr>
          <w:rFonts w:hint="eastAsia" w:ascii="Times New Roman" w:hAnsi="Times New Roman" w:eastAsia="仿宋_GB2312" w:cs="仿宋_GB2312"/>
          <w:b/>
          <w:bCs w:val="0"/>
          <w:color w:val="auto"/>
          <w:szCs w:val="32"/>
          <w:highlight w:val="none"/>
          <w:lang w:val="en-US" w:eastAsia="zh-CN"/>
        </w:rPr>
        <w:t>3.</w:t>
      </w:r>
      <w:r>
        <w:rPr>
          <w:rFonts w:hint="eastAsia" w:ascii="Times New Roman" w:hAnsi="Times New Roman" w:cs="仿宋_GB2312"/>
          <w:b/>
          <w:bCs w:val="0"/>
          <w:color w:val="auto"/>
          <w:szCs w:val="32"/>
          <w:highlight w:val="none"/>
          <w:lang w:val="en-US" w:eastAsia="zh-CN"/>
        </w:rPr>
        <w:t>狮头鹅产业一二三产业高度融合</w:t>
      </w:r>
    </w:p>
    <w:p w14:paraId="071A4668">
      <w:pPr>
        <w:pStyle w:val="5"/>
        <w:rPr>
          <w:rFonts w:hint="default" w:ascii="Times New Roman" w:hAnsi="Times New Roman" w:cstheme="minorBidi"/>
          <w:b w:val="0"/>
          <w:color w:val="auto"/>
          <w:sz w:val="32"/>
          <w:highlight w:val="none"/>
          <w:lang w:eastAsia="zh-CN"/>
        </w:rPr>
      </w:pPr>
      <w:r>
        <w:rPr>
          <w:rFonts w:hint="eastAsia" w:ascii="Times New Roman" w:hAnsi="Times New Roman" w:cstheme="minorBidi"/>
          <w:b w:val="0"/>
          <w:color w:val="auto"/>
          <w:sz w:val="32"/>
          <w:highlight w:val="none"/>
          <w:lang w:val="en-US" w:eastAsia="zh-CN"/>
        </w:rPr>
        <w:t>（1）</w:t>
      </w:r>
      <w:r>
        <w:rPr>
          <w:rFonts w:hint="default" w:ascii="Times New Roman" w:hAnsi="Times New Roman" w:cstheme="minorBidi"/>
          <w:b w:val="0"/>
          <w:color w:val="auto"/>
          <w:sz w:val="32"/>
          <w:highlight w:val="none"/>
          <w:lang w:eastAsia="zh-CN"/>
        </w:rPr>
        <w:t>澄海区是国家级畜禽遗传资源保护品种“澄海系狮头鹅”保种育种最大基地及全国狮头鹅最大产区</w:t>
      </w:r>
    </w:p>
    <w:p w14:paraId="74DFAA78">
      <w:pPr>
        <w:pageBreakBefore w:val="0"/>
        <w:kinsoku/>
        <w:overflowPunct/>
        <w:topLinePunct w:val="0"/>
        <w:autoSpaceDE/>
        <w:autoSpaceDN/>
        <w:bidi w:val="0"/>
        <w:adjustRightInd/>
        <w:snapToGrid/>
        <w:spacing w:line="590" w:lineRule="exact"/>
        <w:rPr>
          <w:rFonts w:hint="default" w:ascii="Times New Roman" w:hAnsi="Times New Roman"/>
          <w:color w:val="auto"/>
          <w:highlight w:val="none"/>
          <w:lang w:val="en-US" w:eastAsia="zh-CN"/>
        </w:rPr>
      </w:pPr>
      <w:r>
        <w:rPr>
          <w:rFonts w:hint="eastAsia" w:ascii="Times New Roman" w:hAnsi="Times New Roman"/>
          <w:b/>
          <w:bCs/>
          <w:color w:val="auto"/>
          <w:highlight w:val="none"/>
          <w:lang w:val="en-US" w:eastAsia="zh-CN"/>
        </w:rPr>
        <w:t>一是狮头鹅保种、高蛋量新品系选育、人工授精技术属澄海独有</w:t>
      </w:r>
      <w:r>
        <w:rPr>
          <w:rFonts w:hint="eastAsia" w:ascii="Times New Roman" w:hAnsi="Times New Roman"/>
          <w:color w:val="auto"/>
          <w:highlight w:val="none"/>
          <w:lang w:val="en-US" w:eastAsia="zh-CN"/>
        </w:rPr>
        <w:t>。</w:t>
      </w:r>
      <w:r>
        <w:rPr>
          <w:rFonts w:hint="default" w:ascii="Times New Roman" w:hAnsi="Times New Roman"/>
          <w:color w:val="auto"/>
          <w:highlight w:val="none"/>
          <w:lang w:val="en-US" w:eastAsia="zh-CN"/>
        </w:rPr>
        <w:t>成功培育全国唯一具有独特外貌特征、抗逆性强、耐粗饲和遗传性能稳定的“澄海系狮头鹅”</w:t>
      </w:r>
      <w:r>
        <w:rPr>
          <w:rFonts w:hint="eastAsia" w:ascii="Times New Roman" w:hAnsi="Times New Roman"/>
          <w:color w:val="auto"/>
          <w:highlight w:val="none"/>
          <w:lang w:val="en-US" w:eastAsia="zh-CN"/>
        </w:rPr>
        <w:t>，自2018起，连续7年成为广东省农业主导品种</w:t>
      </w:r>
      <w:r>
        <w:rPr>
          <w:rFonts w:hint="default" w:ascii="Times New Roman" w:hAnsi="Times New Roman"/>
          <w:color w:val="auto"/>
          <w:highlight w:val="none"/>
          <w:lang w:val="en-US" w:eastAsia="zh-CN"/>
        </w:rPr>
        <w:t>。产肉性能卓越，利用年限为5</w:t>
      </w:r>
      <w:r>
        <w:rPr>
          <w:rFonts w:hint="eastAsia" w:ascii="Times New Roman" w:hAnsi="Times New Roman"/>
          <w:color w:val="auto"/>
          <w:highlight w:val="none"/>
          <w:lang w:val="en-US" w:eastAsia="zh-CN"/>
        </w:rPr>
        <w:t>—</w:t>
      </w:r>
      <w:r>
        <w:rPr>
          <w:rFonts w:hint="default" w:ascii="Times New Roman" w:hAnsi="Times New Roman"/>
          <w:color w:val="auto"/>
          <w:highlight w:val="none"/>
          <w:lang w:val="en-US" w:eastAsia="zh-CN"/>
        </w:rPr>
        <w:t>6年</w:t>
      </w:r>
      <w:r>
        <w:rPr>
          <w:rFonts w:hint="eastAsia" w:ascii="Times New Roman" w:hAnsi="Times New Roman"/>
          <w:color w:val="auto"/>
          <w:highlight w:val="none"/>
          <w:lang w:val="en-US" w:eastAsia="zh-CN"/>
        </w:rPr>
        <w:t>。为防止狮头鹅品种退化，每年财政拨款30万元用于狮头鹅保种，</w:t>
      </w:r>
      <w:r>
        <w:rPr>
          <w:rFonts w:hint="default" w:ascii="Times New Roman" w:hAnsi="Times New Roman"/>
          <w:color w:val="auto"/>
          <w:highlight w:val="none"/>
          <w:lang w:val="en-US" w:eastAsia="zh-CN"/>
        </w:rPr>
        <w:t>现“澄海系狮头鹅”被列入家禽遗传资源保护名录，成为国家级畜禽遗传资源保护品种。</w:t>
      </w:r>
      <w:r>
        <w:rPr>
          <w:rFonts w:hint="eastAsia" w:ascii="Times New Roman" w:hAnsi="Times New Roman"/>
          <w:color w:val="auto"/>
          <w:highlight w:val="none"/>
          <w:lang w:val="en-US" w:eastAsia="zh-CN"/>
        </w:rPr>
        <w:t>成功打破狮头鹅产蛋率低的技术瓶颈，</w:t>
      </w:r>
      <w:r>
        <w:rPr>
          <w:rFonts w:hint="default" w:ascii="Times New Roman" w:hAnsi="Times New Roman"/>
          <w:color w:val="auto"/>
          <w:highlight w:val="none"/>
          <w:lang w:val="en-US" w:eastAsia="zh-CN"/>
        </w:rPr>
        <w:t>选育</w:t>
      </w:r>
      <w:r>
        <w:rPr>
          <w:rFonts w:hint="eastAsia" w:ascii="Times New Roman" w:hAnsi="Times New Roman"/>
          <w:color w:val="auto"/>
          <w:highlight w:val="none"/>
          <w:lang w:val="en-US" w:eastAsia="zh-CN"/>
        </w:rPr>
        <w:t>出了</w:t>
      </w:r>
      <w:r>
        <w:rPr>
          <w:rFonts w:hint="default" w:ascii="Times New Roman" w:hAnsi="Times New Roman"/>
          <w:color w:val="auto"/>
          <w:highlight w:val="none"/>
          <w:lang w:val="en-US" w:eastAsia="zh-CN"/>
        </w:rPr>
        <w:t>高产蛋量新品系，</w:t>
      </w:r>
      <w:r>
        <w:rPr>
          <w:rFonts w:hint="eastAsia" w:ascii="Times New Roman" w:hAnsi="Times New Roman"/>
          <w:color w:val="auto"/>
          <w:highlight w:val="none"/>
          <w:lang w:val="en-US" w:eastAsia="zh-CN"/>
        </w:rPr>
        <w:t>产蛋量达到36.8枚，</w:t>
      </w:r>
      <w:r>
        <w:rPr>
          <w:rFonts w:hint="eastAsia" w:ascii="Times New Roman" w:hAnsi="Times New Roman"/>
          <w:color w:val="auto"/>
          <w:highlight w:val="none"/>
        </w:rPr>
        <w:t>比选育前提高2</w:t>
      </w:r>
      <w:r>
        <w:rPr>
          <w:rFonts w:hint="eastAsia" w:ascii="Times New Roman" w:hAnsi="Times New Roman"/>
          <w:color w:val="auto"/>
          <w:highlight w:val="none"/>
          <w:lang w:val="en-US" w:eastAsia="zh-CN"/>
        </w:rPr>
        <w:t>2.7</w:t>
      </w:r>
      <w:r>
        <w:rPr>
          <w:rFonts w:hint="eastAsia" w:ascii="Times New Roman" w:hAnsi="Times New Roman"/>
          <w:color w:val="auto"/>
          <w:highlight w:val="none"/>
        </w:rPr>
        <w:t>%</w:t>
      </w:r>
      <w:r>
        <w:rPr>
          <w:rFonts w:hint="default" w:ascii="Times New Roman" w:hAnsi="Times New Roman"/>
          <w:color w:val="auto"/>
          <w:highlight w:val="none"/>
          <w:lang w:val="en-US" w:eastAsia="zh-CN"/>
        </w:rPr>
        <w:t>。</w:t>
      </w:r>
      <w:r>
        <w:rPr>
          <w:rFonts w:hint="eastAsia" w:ascii="Times New Roman" w:hAnsi="Times New Roman"/>
          <w:color w:val="auto"/>
          <w:highlight w:val="none"/>
          <w:lang w:val="en-US" w:eastAsia="zh-CN"/>
        </w:rPr>
        <w:t>全面</w:t>
      </w:r>
      <w:r>
        <w:rPr>
          <w:rFonts w:hint="default" w:ascii="Times New Roman" w:hAnsi="Times New Roman"/>
          <w:color w:val="auto"/>
          <w:highlight w:val="none"/>
          <w:lang w:val="en-US" w:eastAsia="zh-CN"/>
        </w:rPr>
        <w:t>推进水禽优良品种的选育、繁育，提高种蛋的受精率达到80%以上，健雏率达到90%以上。</w:t>
      </w:r>
    </w:p>
    <w:p w14:paraId="27BA9E61">
      <w:pPr>
        <w:pageBreakBefore w:val="0"/>
        <w:kinsoku/>
        <w:overflowPunct/>
        <w:topLinePunct w:val="0"/>
        <w:autoSpaceDE/>
        <w:autoSpaceDN/>
        <w:bidi w:val="0"/>
        <w:adjustRightInd/>
        <w:snapToGrid/>
        <w:spacing w:line="590" w:lineRule="exact"/>
        <w:rPr>
          <w:rFonts w:hint="default" w:ascii="Times New Roman" w:hAnsi="Times New Roman"/>
          <w:b/>
          <w:bCs/>
          <w:color w:val="auto"/>
          <w:highlight w:val="none"/>
        </w:rPr>
      </w:pPr>
      <w:r>
        <w:rPr>
          <w:rFonts w:hint="eastAsia" w:ascii="Times New Roman" w:hAnsi="Times New Roman"/>
          <w:b/>
          <w:bCs/>
          <w:color w:val="auto"/>
          <w:highlight w:val="none"/>
          <w:lang w:val="en-US" w:eastAsia="zh-CN"/>
        </w:rPr>
        <w:t>二是狮头鹅供种量居全国首位。</w:t>
      </w:r>
      <w:r>
        <w:rPr>
          <w:rFonts w:hint="eastAsia" w:ascii="Times New Roman" w:hAnsi="Times New Roman"/>
          <w:color w:val="auto"/>
          <w:highlight w:val="none"/>
          <w:lang w:val="en-US" w:eastAsia="zh-CN"/>
        </w:rPr>
        <w:t>澄海区已成功构建</w:t>
      </w:r>
      <w:r>
        <w:rPr>
          <w:rFonts w:hint="default" w:ascii="Times New Roman" w:hAnsi="Times New Roman"/>
          <w:color w:val="auto"/>
          <w:highlight w:val="none"/>
        </w:rPr>
        <w:t>狮头鹅种质资源保护和繁育体系</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种鹅养殖</w:t>
      </w:r>
      <w:r>
        <w:rPr>
          <w:rFonts w:hint="default" w:ascii="Times New Roman" w:hAnsi="Times New Roman"/>
          <w:color w:val="auto"/>
          <w:highlight w:val="none"/>
        </w:rPr>
        <w:t>全面实现饲养管理标准化、孵化设备自动化、防疫检验化验专业化</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狮头鹅鹅蛋大、脂肪含量高、温度很难控制，常规孵化技术孵化率低。澄海是全球唯一拥有狮头鹅种蛋孵化技术的地区，依托这一技术优势，</w:t>
      </w:r>
      <w:r>
        <w:rPr>
          <w:rFonts w:hint="eastAsia" w:ascii="Times New Roman" w:hAnsi="Times New Roman"/>
          <w:b w:val="0"/>
          <w:bCs w:val="0"/>
          <w:color w:val="auto"/>
          <w:highlight w:val="none"/>
          <w:lang w:val="en-US" w:eastAsia="zh-CN"/>
        </w:rPr>
        <w:t>建成</w:t>
      </w:r>
      <w:r>
        <w:rPr>
          <w:rFonts w:hint="default" w:ascii="Times New Roman" w:hAnsi="Times New Roman"/>
          <w:b w:val="0"/>
          <w:bCs w:val="0"/>
          <w:color w:val="auto"/>
          <w:highlight w:val="none"/>
        </w:rPr>
        <w:t>选育和保种标准基地20个，狮头鹅供种量为全国第一</w:t>
      </w:r>
      <w:r>
        <w:rPr>
          <w:rFonts w:hint="default" w:ascii="Times New Roman" w:hAnsi="Times New Roman"/>
          <w:color w:val="auto"/>
          <w:highlight w:val="none"/>
        </w:rPr>
        <w:t>。</w:t>
      </w:r>
    </w:p>
    <w:p w14:paraId="61A7F1E0">
      <w:pPr>
        <w:pageBreakBefore w:val="0"/>
        <w:kinsoku/>
        <w:overflowPunct/>
        <w:topLinePunct w:val="0"/>
        <w:autoSpaceDE/>
        <w:autoSpaceDN/>
        <w:bidi w:val="0"/>
        <w:adjustRightInd/>
        <w:snapToGrid/>
        <w:spacing w:line="590" w:lineRule="exact"/>
        <w:rPr>
          <w:rFonts w:hint="default" w:ascii="Times New Roman" w:hAnsi="Times New Roman" w:eastAsia="仿宋_GB2312"/>
          <w:color w:val="auto"/>
          <w:highlight w:val="none"/>
          <w:lang w:val="en-US" w:eastAsia="zh-CN"/>
        </w:rPr>
      </w:pPr>
      <w:r>
        <w:rPr>
          <w:rFonts w:hint="eastAsia" w:ascii="Times New Roman" w:hAnsi="Times New Roman"/>
          <w:b/>
          <w:bCs/>
          <w:color w:val="auto"/>
          <w:highlight w:val="none"/>
          <w:lang w:val="en-US" w:eastAsia="zh-CN"/>
        </w:rPr>
        <w:t>三是传统养殖成功向“5G”养鹅等现代化标准养殖转型</w:t>
      </w:r>
      <w:r>
        <w:rPr>
          <w:rFonts w:hint="eastAsia" w:ascii="Times New Roman" w:hAnsi="Times New Roman"/>
          <w:color w:val="auto"/>
          <w:highlight w:val="none"/>
          <w:lang w:val="en-US" w:eastAsia="zh-CN"/>
        </w:rPr>
        <w:t>。严格按照狮头鹅饲养技术规范团体标准开展“鹅－牧草－鹅”立体生态循环养殖，节本增效、环保，能可持续发展。创新推动实施“5G”养鹅技术，</w:t>
      </w:r>
      <w:r>
        <w:rPr>
          <w:rFonts w:hint="default" w:ascii="Times New Roman" w:hAnsi="Times New Roman"/>
          <w:color w:val="auto"/>
          <w:highlight w:val="none"/>
        </w:rPr>
        <w:t>鹅舍的温度、湿度、光控、鹅只点数、卷帘、喂养等全面实现自动化及生态环保化</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大数据监测水质风速温度，较传统养殖存活率高出0.5%，死亡率减少0.3%—0.4%。</w:t>
      </w:r>
      <w:r>
        <w:rPr>
          <w:rFonts w:hint="default" w:ascii="Times New Roman" w:hAnsi="Times New Roman"/>
          <w:color w:val="auto"/>
          <w:highlight w:val="none"/>
        </w:rPr>
        <w:t>建成智能化高标准狮头鹅养殖基地30多个，</w:t>
      </w:r>
      <w:r>
        <w:rPr>
          <w:rFonts w:hint="eastAsia" w:ascii="Times New Roman" w:hAnsi="Times New Roman"/>
          <w:color w:val="auto"/>
          <w:highlight w:val="none"/>
          <w:lang w:val="en-US" w:eastAsia="zh-CN"/>
        </w:rPr>
        <w:t>国家水禽产业技术体系汕头综合试验站示范基地5个</w:t>
      </w:r>
      <w:r>
        <w:rPr>
          <w:rFonts w:hint="default" w:ascii="Times New Roman" w:hAnsi="Times New Roman"/>
          <w:color w:val="auto"/>
          <w:highlight w:val="none"/>
        </w:rPr>
        <w:t>。</w:t>
      </w:r>
      <w:r>
        <w:rPr>
          <w:rFonts w:hint="default" w:ascii="Times New Roman" w:hAnsi="Times New Roman"/>
          <w:color w:val="auto"/>
          <w:highlight w:val="none"/>
          <w:lang w:val="en-US" w:eastAsia="zh-CN"/>
        </w:rPr>
        <w:t>2023年狮头鹅从原始粗放养殖到现在逐步形成标准化科学、绿色生态养殖</w:t>
      </w:r>
      <w:r>
        <w:rPr>
          <w:rFonts w:hint="eastAsia" w:ascii="Times New Roman" w:hAnsi="Times New Roman"/>
          <w:color w:val="auto"/>
          <w:highlight w:val="none"/>
          <w:lang w:val="en-US" w:eastAsia="zh-CN"/>
        </w:rPr>
        <w:t>，</w:t>
      </w:r>
      <w:r>
        <w:rPr>
          <w:rFonts w:hint="default" w:ascii="Times New Roman" w:hAnsi="Times New Roman"/>
          <w:color w:val="auto"/>
          <w:highlight w:val="none"/>
          <w:lang w:val="en-US" w:eastAsia="zh-CN"/>
        </w:rPr>
        <w:t>配套牧草、代粮、中药辅助的健康养殖理念。</w:t>
      </w:r>
    </w:p>
    <w:p w14:paraId="33F548B7">
      <w:pPr>
        <w:pStyle w:val="5"/>
        <w:rPr>
          <w:rFonts w:hint="eastAsia" w:ascii="Times New Roman" w:hAnsi="Times New Roman" w:cstheme="minorBidi"/>
          <w:b w:val="0"/>
          <w:color w:val="auto"/>
          <w:sz w:val="32"/>
          <w:highlight w:val="none"/>
          <w:lang w:val="en-US" w:eastAsia="zh-CN"/>
        </w:rPr>
      </w:pPr>
      <w:r>
        <w:rPr>
          <w:rFonts w:hint="eastAsia" w:ascii="Times New Roman" w:hAnsi="Times New Roman" w:cstheme="minorBidi"/>
          <w:b w:val="0"/>
          <w:color w:val="auto"/>
          <w:sz w:val="32"/>
          <w:highlight w:val="none"/>
          <w:lang w:val="en-US" w:eastAsia="zh-CN"/>
        </w:rPr>
        <w:t>（2）“三大体系”助力狮头鹅产业屠宰加工及冷链仓储处于全国领先地位</w:t>
      </w:r>
    </w:p>
    <w:p w14:paraId="7DF9FB85">
      <w:pPr>
        <w:pageBreakBefore w:val="0"/>
        <w:kinsoku/>
        <w:overflowPunct/>
        <w:topLinePunct w:val="0"/>
        <w:autoSpaceDE/>
        <w:autoSpaceDN/>
        <w:bidi w:val="0"/>
        <w:adjustRightInd/>
        <w:snapToGrid/>
        <w:spacing w:line="590" w:lineRule="exact"/>
        <w:rPr>
          <w:rFonts w:hint="default" w:ascii="Times New Roman" w:hAnsi="Times New Roman"/>
          <w:color w:val="auto"/>
          <w:highlight w:val="none"/>
        </w:rPr>
      </w:pPr>
      <w:r>
        <w:rPr>
          <w:rFonts w:hint="default" w:ascii="Times New Roman" w:hAnsi="Times New Roman"/>
          <w:color w:val="auto"/>
          <w:highlight w:val="none"/>
        </w:rPr>
        <w:t>依托狮头鹅特色农产品资源优势，聚焦精深加工环节，按照全产业链开发、全价值链提升、全政策链扶持的思路，</w:t>
      </w:r>
      <w:r>
        <w:rPr>
          <w:rFonts w:hint="eastAsia" w:ascii="Times New Roman" w:hAnsi="Times New Roman"/>
          <w:color w:val="auto"/>
          <w:highlight w:val="none"/>
          <w:lang w:val="en-US" w:eastAsia="zh-CN"/>
        </w:rPr>
        <w:t>成功构建“现代化屠宰加工”“全产业链开发”“高效流通”三大体系，</w:t>
      </w:r>
      <w:r>
        <w:rPr>
          <w:rFonts w:hint="default" w:ascii="Times New Roman" w:hAnsi="Times New Roman"/>
          <w:color w:val="auto"/>
          <w:highlight w:val="none"/>
        </w:rPr>
        <w:t>打造特色鲜明、结构合理、链条完整的狮头鹅精深加工产业集群，成为澄海区实施乡村振兴的新支撑、农业转型发展的新亮点和文旅融合的新载体。</w:t>
      </w:r>
      <w:r>
        <w:rPr>
          <w:rFonts w:hint="eastAsia" w:ascii="Times New Roman" w:hAnsi="Times New Roman"/>
          <w:color w:val="auto"/>
          <w:highlight w:val="none"/>
          <w:lang w:val="en-US" w:eastAsia="zh-CN"/>
        </w:rPr>
        <w:t>产业园内</w:t>
      </w:r>
      <w:r>
        <w:rPr>
          <w:rFonts w:hint="default" w:ascii="Times New Roman" w:hAnsi="Times New Roman"/>
          <w:b w:val="0"/>
          <w:bCs w:val="0"/>
          <w:color w:val="auto"/>
          <w:highlight w:val="none"/>
        </w:rPr>
        <w:t>狮头鹅</w:t>
      </w:r>
      <w:r>
        <w:rPr>
          <w:rFonts w:hint="default" w:ascii="Times New Roman" w:hAnsi="Times New Roman"/>
          <w:color w:val="auto"/>
          <w:highlight w:val="none"/>
        </w:rPr>
        <w:t>初加工、精深加工产品二产产值达</w:t>
      </w:r>
      <w:r>
        <w:rPr>
          <w:rFonts w:hint="eastAsia" w:ascii="Times New Roman" w:hAnsi="Times New Roman"/>
          <w:color w:val="auto"/>
          <w:highlight w:val="none"/>
          <w:lang w:val="en-US" w:eastAsia="zh-CN"/>
        </w:rPr>
        <w:t>66.53</w:t>
      </w:r>
      <w:r>
        <w:rPr>
          <w:rFonts w:hint="default" w:ascii="Times New Roman" w:hAnsi="Times New Roman"/>
          <w:color w:val="auto"/>
          <w:highlight w:val="none"/>
        </w:rPr>
        <w:t>亿元，实</w:t>
      </w:r>
      <w:r>
        <w:rPr>
          <w:rFonts w:hint="default" w:ascii="Times New Roman" w:hAnsi="Times New Roman"/>
          <w:b w:val="0"/>
          <w:bCs w:val="0"/>
          <w:color w:val="auto"/>
          <w:highlight w:val="none"/>
        </w:rPr>
        <w:t>现狮头鹅二产产值与一产产值比达3.0</w:t>
      </w:r>
      <w:r>
        <w:rPr>
          <w:rFonts w:hint="eastAsia" w:ascii="Times New Roman" w:hAnsi="Times New Roman"/>
          <w:b w:val="0"/>
          <w:bCs w:val="0"/>
          <w:color w:val="auto"/>
          <w:highlight w:val="none"/>
          <w:lang w:val="en-US" w:eastAsia="zh-CN"/>
        </w:rPr>
        <w:t>8:</w:t>
      </w:r>
      <w:r>
        <w:rPr>
          <w:rFonts w:hint="default" w:ascii="Times New Roman" w:hAnsi="Times New Roman"/>
          <w:b w:val="0"/>
          <w:bCs w:val="0"/>
          <w:color w:val="auto"/>
          <w:highlight w:val="none"/>
        </w:rPr>
        <w:t>1</w:t>
      </w:r>
      <w:r>
        <w:rPr>
          <w:rFonts w:hint="default" w:ascii="Times New Roman" w:hAnsi="Times New Roman"/>
          <w:color w:val="auto"/>
          <w:highlight w:val="none"/>
        </w:rPr>
        <w:t>。</w:t>
      </w:r>
    </w:p>
    <w:p w14:paraId="5D298462">
      <w:pPr>
        <w:pageBreakBefore w:val="0"/>
        <w:kinsoku/>
        <w:overflowPunct/>
        <w:topLinePunct w:val="0"/>
        <w:autoSpaceDE/>
        <w:autoSpaceDN/>
        <w:bidi w:val="0"/>
        <w:adjustRightInd/>
        <w:snapToGrid/>
        <w:spacing w:line="590" w:lineRule="exact"/>
        <w:rPr>
          <w:rFonts w:hint="default" w:ascii="Times New Roman" w:hAnsi="Times New Roman"/>
          <w:color w:val="auto"/>
          <w:highlight w:val="none"/>
        </w:rPr>
      </w:pPr>
      <w:r>
        <w:rPr>
          <w:rFonts w:hint="eastAsia" w:ascii="Times New Roman" w:hAnsi="Times New Roman"/>
          <w:b/>
          <w:bCs/>
          <w:color w:val="auto"/>
          <w:highlight w:val="none"/>
          <w:lang w:val="en-US" w:eastAsia="zh-CN"/>
        </w:rPr>
        <w:t>一是创新形成“鹅苗外供+回流宰杀”现代化屠宰加工体系。</w:t>
      </w:r>
      <w:r>
        <w:rPr>
          <w:rFonts w:hint="eastAsia" w:ascii="Times New Roman" w:hAnsi="Times New Roman"/>
          <w:b w:val="0"/>
          <w:bCs w:val="0"/>
          <w:color w:val="auto"/>
          <w:highlight w:val="none"/>
          <w:lang w:val="en-US" w:eastAsia="zh-CN"/>
        </w:rPr>
        <w:t>狮头鹅肉用性能良好，屠宰率90%，全净膛率75%，较屠宰标准分别高出10%、15%左右。</w:t>
      </w:r>
      <w:r>
        <w:rPr>
          <w:rFonts w:hint="default" w:ascii="Times New Roman" w:hAnsi="Times New Roman"/>
          <w:color w:val="auto"/>
          <w:highlight w:val="none"/>
        </w:rPr>
        <w:t>澄海区辐射带动全国各地大规模养殖狮头鹅，形成了</w:t>
      </w:r>
      <w:r>
        <w:rPr>
          <w:rFonts w:hint="default" w:ascii="Times New Roman" w:hAnsi="Times New Roman"/>
          <w:b w:val="0"/>
          <w:bCs w:val="0"/>
          <w:color w:val="auto"/>
          <w:highlight w:val="none"/>
        </w:rPr>
        <w:t>“鹅苗外供+回流宰杀</w:t>
      </w:r>
      <w:r>
        <w:rPr>
          <w:rFonts w:hint="default" w:ascii="Times New Roman" w:hAnsi="Times New Roman"/>
          <w:color w:val="auto"/>
          <w:highlight w:val="none"/>
        </w:rPr>
        <w:t>”特有产业发展模式，其中鹅苗外销地区主要包括福建、广西、江西、云南、安徽、贵州、河南及东北各省，每年全区宰杀的狮头鹅按来源区内和区外的量比约为4:6。</w:t>
      </w:r>
      <w:r>
        <w:rPr>
          <w:rFonts w:hint="eastAsia" w:ascii="Times New Roman" w:hAnsi="Times New Roman"/>
          <w:color w:val="auto"/>
          <w:highlight w:val="none"/>
          <w:lang w:val="en-US" w:eastAsia="zh-CN"/>
        </w:rPr>
        <w:t>加工企业集聚发展，园内</w:t>
      </w:r>
      <w:r>
        <w:rPr>
          <w:rFonts w:hint="eastAsia" w:ascii="Times New Roman" w:hAnsi="Times New Roman"/>
          <w:b w:val="0"/>
          <w:bCs w:val="0"/>
          <w:color w:val="auto"/>
          <w:highlight w:val="none"/>
          <w:lang w:val="en-US" w:eastAsia="zh-CN"/>
        </w:rPr>
        <w:t>加工企业共</w:t>
      </w:r>
      <w:r>
        <w:rPr>
          <w:rFonts w:hint="default" w:ascii="Times New Roman" w:hAnsi="Times New Roman"/>
          <w:b w:val="0"/>
          <w:bCs w:val="0"/>
          <w:color w:val="auto"/>
          <w:highlight w:val="none"/>
        </w:rPr>
        <w:t>300多家，其中规上大型企业3家，卤制加工企业200-300家</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总投资</w:t>
      </w:r>
      <w:r>
        <w:rPr>
          <w:rFonts w:hint="default" w:ascii="Times New Roman" w:hAnsi="Times New Roman"/>
          <w:color w:val="auto"/>
          <w:highlight w:val="none"/>
        </w:rPr>
        <w:t>1.5亿元建成56.25亩年加工能力达400万</w:t>
      </w:r>
      <w:r>
        <w:rPr>
          <w:rFonts w:hint="eastAsia" w:ascii="Times New Roman" w:hAnsi="Times New Roman"/>
          <w:color w:val="auto"/>
          <w:highlight w:val="none"/>
          <w:lang w:val="en-US" w:eastAsia="zh-CN"/>
        </w:rPr>
        <w:t>只</w:t>
      </w:r>
      <w:r>
        <w:rPr>
          <w:rFonts w:hint="default" w:ascii="Times New Roman" w:hAnsi="Times New Roman"/>
          <w:color w:val="auto"/>
          <w:highlight w:val="none"/>
        </w:rPr>
        <w:t>的狮头鹅现代化屠宰加工冷链配送中心，冷藏仓库10万立方米，液氮冷冻生产线12条，年可运输冰鲜鹅产品10.5万吨</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狮头鹅是体型最大的鹅种，现有畜禽屠宰流水线不适于狮头鹅屠宰，狮头鹅屠宰自动化设备适配改装技术为澄海独有，并制定了全国唯一一</w:t>
      </w:r>
      <w:r>
        <w:rPr>
          <w:rFonts w:hint="default" w:ascii="Times New Roman" w:hAnsi="Times New Roman"/>
          <w:color w:val="auto"/>
          <w:highlight w:val="none"/>
        </w:rPr>
        <w:t>个狮头鹅屠宰地方规范</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产业园狮头鹅屠宰</w:t>
      </w:r>
      <w:r>
        <w:rPr>
          <w:rFonts w:hint="default" w:ascii="Times New Roman" w:hAnsi="Times New Roman"/>
          <w:color w:val="auto"/>
          <w:highlight w:val="none"/>
        </w:rPr>
        <w:t>标准化车间及全自动屠宰设备实现全覆盖，</w:t>
      </w:r>
      <w:r>
        <w:rPr>
          <w:rFonts w:hint="eastAsia" w:ascii="Times New Roman" w:hAnsi="Times New Roman"/>
          <w:b w:val="0"/>
          <w:bCs w:val="0"/>
          <w:color w:val="auto"/>
          <w:highlight w:val="none"/>
          <w:lang w:val="en-US" w:eastAsia="zh-CN"/>
        </w:rPr>
        <w:t>建成屠宰生产线150多条，</w:t>
      </w:r>
      <w:r>
        <w:rPr>
          <w:rFonts w:hint="default" w:ascii="Times New Roman" w:hAnsi="Times New Roman"/>
          <w:b w:val="0"/>
          <w:bCs w:val="0"/>
          <w:color w:val="auto"/>
          <w:highlight w:val="none"/>
        </w:rPr>
        <w:t>全自动屠宰流水生产线时产400</w:t>
      </w:r>
      <w:r>
        <w:rPr>
          <w:rFonts w:hint="eastAsia" w:ascii="Times New Roman" w:hAnsi="Times New Roman"/>
          <w:b w:val="0"/>
          <w:bCs w:val="0"/>
          <w:color w:val="auto"/>
          <w:highlight w:val="none"/>
          <w:lang w:val="en-US" w:eastAsia="zh-CN"/>
        </w:rPr>
        <w:t>0</w:t>
      </w:r>
      <w:r>
        <w:rPr>
          <w:rFonts w:hint="default" w:ascii="Times New Roman" w:hAnsi="Times New Roman"/>
          <w:b w:val="0"/>
          <w:bCs w:val="0"/>
          <w:color w:val="auto"/>
          <w:highlight w:val="none"/>
        </w:rPr>
        <w:t>只鹅，年屠宰量约1000万只</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加工效率提升10倍</w:t>
      </w:r>
      <w:r>
        <w:rPr>
          <w:rFonts w:hint="eastAsia" w:ascii="Times New Roman" w:hAnsi="Times New Roman"/>
          <w:color w:val="auto"/>
          <w:highlight w:val="none"/>
          <w:lang w:eastAsia="zh-CN"/>
        </w:rPr>
        <w:t>。</w:t>
      </w:r>
    </w:p>
    <w:p w14:paraId="774718A0">
      <w:pPr>
        <w:pageBreakBefore w:val="0"/>
        <w:kinsoku/>
        <w:overflowPunct/>
        <w:topLinePunct w:val="0"/>
        <w:autoSpaceDE/>
        <w:autoSpaceDN/>
        <w:bidi w:val="0"/>
        <w:adjustRightInd/>
        <w:snapToGrid/>
        <w:spacing w:line="590" w:lineRule="exact"/>
        <w:ind w:firstLine="0" w:firstLineChars="0"/>
        <w:jc w:val="center"/>
        <w:outlineLvl w:val="2"/>
        <w:rPr>
          <w:rFonts w:hint="eastAsia" w:ascii="Times New Roman" w:hAnsi="Times New Roman" w:eastAsia="仿宋_GB2312" w:cs="仿宋_GB2312"/>
          <w:color w:val="auto"/>
          <w:sz w:val="32"/>
          <w:szCs w:val="32"/>
          <w:highlight w:val="none"/>
        </w:rPr>
      </w:pPr>
      <w:bookmarkStart w:id="6" w:name="_Toc18463"/>
      <w:r>
        <w:rPr>
          <w:rFonts w:hint="eastAsia" w:ascii="Times New Roman" w:hAnsi="Times New Roman" w:eastAsia="仿宋_GB2312" w:cs="仿宋_GB2312"/>
          <w:color w:val="auto"/>
          <w:sz w:val="28"/>
          <w:szCs w:val="28"/>
          <w:highlight w:val="none"/>
          <w:lang w:val="en-US" w:eastAsia="zh-CN"/>
        </w:rPr>
        <w:t>90日龄狮头鹅与全国著名5个鹅种屠宰性能对比表</w:t>
      </w:r>
      <w:bookmarkEnd w:id="6"/>
    </w:p>
    <w:tbl>
      <w:tblPr>
        <w:tblStyle w:val="25"/>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6"/>
        <w:gridCol w:w="1180"/>
        <w:gridCol w:w="1150"/>
        <w:gridCol w:w="986"/>
        <w:gridCol w:w="1102"/>
        <w:gridCol w:w="1008"/>
        <w:gridCol w:w="1008"/>
        <w:gridCol w:w="1008"/>
      </w:tblGrid>
      <w:tr w14:paraId="7A61A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076" w:type="dxa"/>
            <w:vAlign w:val="center"/>
          </w:tcPr>
          <w:p w14:paraId="4A84D80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仿宋_GB2312" w:cs="仿宋_GB2312"/>
                <w:b/>
                <w:bCs/>
                <w:color w:val="auto"/>
                <w:sz w:val="21"/>
                <w:szCs w:val="21"/>
                <w:highlight w:val="none"/>
                <w:vertAlign w:val="baseline"/>
                <w:lang w:val="en-US" w:eastAsia="zh-CN"/>
              </w:rPr>
            </w:pPr>
            <w:r>
              <w:rPr>
                <w:rFonts w:hint="eastAsia" w:ascii="Times New Roman" w:hAnsi="Times New Roman" w:eastAsia="仿宋_GB2312" w:cs="仿宋_GB2312"/>
                <w:b/>
                <w:bCs/>
                <w:color w:val="auto"/>
                <w:sz w:val="21"/>
                <w:szCs w:val="21"/>
                <w:highlight w:val="none"/>
                <w:vertAlign w:val="baseline"/>
                <w:lang w:val="en-US" w:eastAsia="zh-CN"/>
              </w:rPr>
              <w:t>指标</w:t>
            </w:r>
          </w:p>
        </w:tc>
        <w:tc>
          <w:tcPr>
            <w:tcW w:w="1180" w:type="dxa"/>
            <w:vAlign w:val="center"/>
          </w:tcPr>
          <w:p w14:paraId="2945910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仿宋_GB2312" w:cs="仿宋_GB2312"/>
                <w:b/>
                <w:bCs/>
                <w:color w:val="auto"/>
                <w:sz w:val="21"/>
                <w:szCs w:val="21"/>
                <w:highlight w:val="none"/>
                <w:vertAlign w:val="baseline"/>
                <w:lang w:val="en-US" w:eastAsia="zh-CN"/>
              </w:rPr>
            </w:pPr>
            <w:r>
              <w:rPr>
                <w:rFonts w:hint="eastAsia" w:ascii="Times New Roman" w:hAnsi="Times New Roman" w:eastAsia="仿宋_GB2312" w:cs="仿宋_GB2312"/>
                <w:b/>
                <w:bCs/>
                <w:color w:val="auto"/>
                <w:sz w:val="21"/>
                <w:szCs w:val="21"/>
                <w:highlight w:val="none"/>
                <w:vertAlign w:val="baseline"/>
                <w:lang w:val="en-US" w:eastAsia="zh-CN"/>
              </w:rPr>
              <w:t>标准</w:t>
            </w:r>
          </w:p>
        </w:tc>
        <w:tc>
          <w:tcPr>
            <w:tcW w:w="1150" w:type="dxa"/>
            <w:vAlign w:val="center"/>
          </w:tcPr>
          <w:p w14:paraId="072A2A9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仿宋_GB2312" w:cs="仿宋_GB2312"/>
                <w:b/>
                <w:bCs/>
                <w:color w:val="auto"/>
                <w:sz w:val="21"/>
                <w:szCs w:val="21"/>
                <w:highlight w:val="none"/>
                <w:vertAlign w:val="baseline"/>
                <w:lang w:val="en-US" w:eastAsia="zh-CN"/>
              </w:rPr>
            </w:pPr>
            <w:r>
              <w:rPr>
                <w:rFonts w:hint="eastAsia" w:ascii="Times New Roman" w:hAnsi="Times New Roman" w:eastAsia="仿宋_GB2312" w:cs="仿宋_GB2312"/>
                <w:b/>
                <w:bCs/>
                <w:color w:val="auto"/>
                <w:sz w:val="21"/>
                <w:szCs w:val="21"/>
                <w:highlight w:val="none"/>
                <w:vertAlign w:val="baseline"/>
                <w:lang w:val="en-US" w:eastAsia="zh-CN"/>
              </w:rPr>
              <w:t>澄海狮头鹅</w:t>
            </w:r>
          </w:p>
        </w:tc>
        <w:tc>
          <w:tcPr>
            <w:tcW w:w="986" w:type="dxa"/>
            <w:vAlign w:val="center"/>
          </w:tcPr>
          <w:p w14:paraId="5F0E772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仿宋_GB2312" w:cs="仿宋_GB2312"/>
                <w:b/>
                <w:bCs/>
                <w:color w:val="auto"/>
                <w:sz w:val="21"/>
                <w:szCs w:val="21"/>
                <w:highlight w:val="none"/>
                <w:vertAlign w:val="baseline"/>
                <w:lang w:val="en-US" w:eastAsia="zh-CN"/>
              </w:rPr>
            </w:pPr>
            <w:r>
              <w:rPr>
                <w:rFonts w:hint="eastAsia" w:ascii="Times New Roman" w:hAnsi="Times New Roman" w:eastAsia="仿宋_GB2312" w:cs="仿宋_GB2312"/>
                <w:b/>
                <w:bCs/>
                <w:color w:val="auto"/>
                <w:sz w:val="21"/>
                <w:szCs w:val="21"/>
                <w:highlight w:val="none"/>
                <w:vertAlign w:val="baseline"/>
                <w:lang w:val="en-US" w:eastAsia="zh-CN"/>
              </w:rPr>
              <w:t>太湖鹅</w:t>
            </w:r>
          </w:p>
        </w:tc>
        <w:tc>
          <w:tcPr>
            <w:tcW w:w="1102" w:type="dxa"/>
            <w:vAlign w:val="center"/>
          </w:tcPr>
          <w:p w14:paraId="76CA557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仿宋_GB2312" w:cs="仿宋_GB2312"/>
                <w:b/>
                <w:bCs/>
                <w:color w:val="auto"/>
                <w:sz w:val="21"/>
                <w:szCs w:val="21"/>
                <w:highlight w:val="none"/>
                <w:vertAlign w:val="baseline"/>
                <w:lang w:val="en-US" w:eastAsia="zh-CN"/>
              </w:rPr>
            </w:pPr>
            <w:r>
              <w:rPr>
                <w:rFonts w:hint="eastAsia" w:ascii="Times New Roman" w:hAnsi="Times New Roman" w:eastAsia="仿宋_GB2312" w:cs="仿宋_GB2312"/>
                <w:b/>
                <w:bCs/>
                <w:color w:val="auto"/>
                <w:sz w:val="21"/>
                <w:szCs w:val="21"/>
                <w:highlight w:val="none"/>
                <w:vertAlign w:val="baseline"/>
                <w:lang w:val="en-US" w:eastAsia="zh-CN"/>
              </w:rPr>
              <w:t>四川白鹅</w:t>
            </w:r>
          </w:p>
        </w:tc>
        <w:tc>
          <w:tcPr>
            <w:tcW w:w="1008" w:type="dxa"/>
            <w:vAlign w:val="center"/>
          </w:tcPr>
          <w:p w14:paraId="30BC164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仿宋_GB2312" w:cs="仿宋_GB2312"/>
                <w:b/>
                <w:bCs/>
                <w:color w:val="auto"/>
                <w:sz w:val="21"/>
                <w:szCs w:val="21"/>
                <w:highlight w:val="none"/>
                <w:vertAlign w:val="baseline"/>
                <w:lang w:val="en-US" w:eastAsia="zh-CN"/>
              </w:rPr>
            </w:pPr>
            <w:r>
              <w:rPr>
                <w:rFonts w:hint="eastAsia" w:ascii="Times New Roman" w:hAnsi="Times New Roman" w:eastAsia="仿宋_GB2312" w:cs="仿宋_GB2312"/>
                <w:b/>
                <w:bCs/>
                <w:color w:val="auto"/>
                <w:sz w:val="21"/>
                <w:szCs w:val="21"/>
                <w:highlight w:val="none"/>
                <w:vertAlign w:val="baseline"/>
                <w:lang w:val="en-US" w:eastAsia="zh-CN"/>
              </w:rPr>
              <w:t>三花鹅</w:t>
            </w:r>
          </w:p>
        </w:tc>
        <w:tc>
          <w:tcPr>
            <w:tcW w:w="1008" w:type="dxa"/>
            <w:vAlign w:val="center"/>
          </w:tcPr>
          <w:p w14:paraId="2F3C96C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仿宋_GB2312" w:cs="仿宋_GB2312"/>
                <w:b/>
                <w:bCs/>
                <w:color w:val="auto"/>
                <w:sz w:val="21"/>
                <w:szCs w:val="21"/>
                <w:highlight w:val="none"/>
                <w:vertAlign w:val="baseline"/>
                <w:lang w:val="en-US" w:eastAsia="zh-CN"/>
              </w:rPr>
            </w:pPr>
            <w:r>
              <w:rPr>
                <w:rFonts w:hint="eastAsia" w:ascii="Times New Roman" w:hAnsi="Times New Roman" w:eastAsia="仿宋_GB2312" w:cs="仿宋_GB2312"/>
                <w:b/>
                <w:bCs/>
                <w:color w:val="auto"/>
                <w:sz w:val="21"/>
                <w:szCs w:val="21"/>
                <w:highlight w:val="none"/>
                <w:vertAlign w:val="baseline"/>
                <w:lang w:val="en-US" w:eastAsia="zh-CN"/>
              </w:rPr>
              <w:t>五龙鹅</w:t>
            </w:r>
          </w:p>
        </w:tc>
        <w:tc>
          <w:tcPr>
            <w:tcW w:w="1008" w:type="dxa"/>
            <w:vAlign w:val="center"/>
          </w:tcPr>
          <w:p w14:paraId="7A99802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仿宋_GB2312" w:cs="仿宋_GB2312"/>
                <w:b/>
                <w:bCs/>
                <w:color w:val="auto"/>
                <w:sz w:val="21"/>
                <w:szCs w:val="21"/>
                <w:highlight w:val="none"/>
                <w:vertAlign w:val="baseline"/>
                <w:lang w:val="en-US" w:eastAsia="zh-CN"/>
              </w:rPr>
            </w:pPr>
            <w:r>
              <w:rPr>
                <w:rFonts w:hint="eastAsia" w:ascii="Times New Roman" w:hAnsi="Times New Roman" w:eastAsia="仿宋_GB2312" w:cs="仿宋_GB2312"/>
                <w:b/>
                <w:bCs/>
                <w:color w:val="auto"/>
                <w:sz w:val="21"/>
                <w:szCs w:val="21"/>
                <w:highlight w:val="none"/>
                <w:vertAlign w:val="baseline"/>
                <w:lang w:val="en-US" w:eastAsia="zh-CN"/>
              </w:rPr>
              <w:t>皖西白鹅</w:t>
            </w:r>
          </w:p>
        </w:tc>
      </w:tr>
      <w:tr w14:paraId="32A7D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076" w:type="dxa"/>
            <w:vAlign w:val="center"/>
          </w:tcPr>
          <w:p w14:paraId="4D2CF34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屠宰率（%）</w:t>
            </w:r>
          </w:p>
        </w:tc>
        <w:tc>
          <w:tcPr>
            <w:tcW w:w="1180" w:type="dxa"/>
            <w:vAlign w:val="center"/>
          </w:tcPr>
          <w:p w14:paraId="49E7D65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80以上</w:t>
            </w:r>
          </w:p>
        </w:tc>
        <w:tc>
          <w:tcPr>
            <w:tcW w:w="1150" w:type="dxa"/>
            <w:vAlign w:val="center"/>
          </w:tcPr>
          <w:p w14:paraId="5F8B614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90</w:t>
            </w:r>
          </w:p>
        </w:tc>
        <w:tc>
          <w:tcPr>
            <w:tcW w:w="986" w:type="dxa"/>
            <w:vAlign w:val="center"/>
          </w:tcPr>
          <w:p w14:paraId="366B9FA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仿宋_GB2312" w:cs="仿宋_GB2312"/>
                <w:color w:val="auto"/>
                <w:kern w:val="2"/>
                <w:sz w:val="21"/>
                <w:szCs w:val="21"/>
                <w:highlight w:val="none"/>
                <w:vertAlign w:val="baseline"/>
                <w:lang w:val="en-US" w:eastAsia="zh-CN" w:bidi="ar-SA"/>
              </w:rPr>
            </w:pPr>
            <w:r>
              <w:rPr>
                <w:rFonts w:hint="eastAsia" w:ascii="Times New Roman" w:hAnsi="Times New Roman" w:eastAsia="仿宋_GB2312" w:cs="仿宋_GB2312"/>
                <w:color w:val="auto"/>
                <w:kern w:val="2"/>
                <w:sz w:val="21"/>
                <w:szCs w:val="21"/>
                <w:highlight w:val="none"/>
                <w:vertAlign w:val="baseline"/>
                <w:lang w:val="en-US" w:eastAsia="zh-CN" w:bidi="ar-SA"/>
              </w:rPr>
              <w:t>88</w:t>
            </w:r>
          </w:p>
        </w:tc>
        <w:tc>
          <w:tcPr>
            <w:tcW w:w="1102" w:type="dxa"/>
            <w:vAlign w:val="center"/>
          </w:tcPr>
          <w:p w14:paraId="55710F9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仿宋_GB2312" w:cs="仿宋_GB2312"/>
                <w:color w:val="auto"/>
                <w:kern w:val="2"/>
                <w:sz w:val="21"/>
                <w:szCs w:val="21"/>
                <w:highlight w:val="none"/>
                <w:vertAlign w:val="baseline"/>
                <w:lang w:val="en-US" w:eastAsia="zh-CN" w:bidi="ar-SA"/>
              </w:rPr>
            </w:pPr>
            <w:r>
              <w:rPr>
                <w:rFonts w:hint="eastAsia" w:ascii="Times New Roman" w:hAnsi="Times New Roman" w:eastAsia="仿宋_GB2312" w:cs="仿宋_GB2312"/>
                <w:color w:val="auto"/>
                <w:kern w:val="2"/>
                <w:sz w:val="21"/>
                <w:szCs w:val="21"/>
                <w:highlight w:val="none"/>
                <w:vertAlign w:val="baseline"/>
                <w:lang w:val="en-US" w:eastAsia="zh-CN" w:bidi="ar-SA"/>
              </w:rPr>
              <w:t>87</w:t>
            </w:r>
          </w:p>
        </w:tc>
        <w:tc>
          <w:tcPr>
            <w:tcW w:w="1008" w:type="dxa"/>
            <w:vAlign w:val="center"/>
          </w:tcPr>
          <w:p w14:paraId="6E2BC74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88</w:t>
            </w:r>
          </w:p>
        </w:tc>
        <w:tc>
          <w:tcPr>
            <w:tcW w:w="1008" w:type="dxa"/>
            <w:vAlign w:val="center"/>
          </w:tcPr>
          <w:p w14:paraId="46DFC91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86</w:t>
            </w:r>
          </w:p>
        </w:tc>
        <w:tc>
          <w:tcPr>
            <w:tcW w:w="1008" w:type="dxa"/>
            <w:vAlign w:val="center"/>
          </w:tcPr>
          <w:p w14:paraId="0306D42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88</w:t>
            </w:r>
          </w:p>
        </w:tc>
      </w:tr>
      <w:tr w14:paraId="639FD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076" w:type="dxa"/>
            <w:vAlign w:val="center"/>
          </w:tcPr>
          <w:p w14:paraId="2A50B95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全净膛率（%）</w:t>
            </w:r>
          </w:p>
        </w:tc>
        <w:tc>
          <w:tcPr>
            <w:tcW w:w="1180" w:type="dxa"/>
            <w:vAlign w:val="center"/>
          </w:tcPr>
          <w:p w14:paraId="2D4AEFF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60以上</w:t>
            </w:r>
          </w:p>
        </w:tc>
        <w:tc>
          <w:tcPr>
            <w:tcW w:w="1150" w:type="dxa"/>
            <w:vAlign w:val="center"/>
          </w:tcPr>
          <w:p w14:paraId="7717BA1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75</w:t>
            </w:r>
          </w:p>
        </w:tc>
        <w:tc>
          <w:tcPr>
            <w:tcW w:w="986" w:type="dxa"/>
            <w:vAlign w:val="center"/>
          </w:tcPr>
          <w:p w14:paraId="49CE9B0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仿宋_GB2312" w:cs="仿宋_GB2312"/>
                <w:color w:val="auto"/>
                <w:kern w:val="2"/>
                <w:sz w:val="21"/>
                <w:szCs w:val="21"/>
                <w:highlight w:val="none"/>
                <w:vertAlign w:val="baseline"/>
                <w:lang w:val="en-US" w:eastAsia="zh-CN" w:bidi="ar-SA"/>
              </w:rPr>
            </w:pPr>
            <w:r>
              <w:rPr>
                <w:rFonts w:hint="eastAsia" w:ascii="Times New Roman" w:hAnsi="Times New Roman" w:eastAsia="仿宋_GB2312" w:cs="仿宋_GB2312"/>
                <w:color w:val="auto"/>
                <w:kern w:val="2"/>
                <w:sz w:val="21"/>
                <w:szCs w:val="21"/>
                <w:highlight w:val="none"/>
                <w:vertAlign w:val="baseline"/>
                <w:lang w:val="en-US" w:eastAsia="zh-CN" w:bidi="ar-SA"/>
              </w:rPr>
              <w:t>74</w:t>
            </w:r>
          </w:p>
        </w:tc>
        <w:tc>
          <w:tcPr>
            <w:tcW w:w="1102" w:type="dxa"/>
            <w:vAlign w:val="center"/>
          </w:tcPr>
          <w:p w14:paraId="596E909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仿宋_GB2312" w:cs="仿宋_GB2312"/>
                <w:color w:val="auto"/>
                <w:kern w:val="2"/>
                <w:sz w:val="21"/>
                <w:szCs w:val="21"/>
                <w:highlight w:val="none"/>
                <w:vertAlign w:val="baseline"/>
                <w:lang w:val="en-US" w:eastAsia="zh-CN" w:bidi="ar-SA"/>
              </w:rPr>
            </w:pPr>
            <w:r>
              <w:rPr>
                <w:rFonts w:hint="eastAsia" w:ascii="Times New Roman" w:hAnsi="Times New Roman" w:eastAsia="仿宋_GB2312" w:cs="仿宋_GB2312"/>
                <w:color w:val="auto"/>
                <w:kern w:val="2"/>
                <w:sz w:val="21"/>
                <w:szCs w:val="21"/>
                <w:highlight w:val="none"/>
                <w:vertAlign w:val="baseline"/>
                <w:lang w:val="en-US" w:eastAsia="zh-CN" w:bidi="ar-SA"/>
              </w:rPr>
              <w:t>72</w:t>
            </w:r>
          </w:p>
        </w:tc>
        <w:tc>
          <w:tcPr>
            <w:tcW w:w="1008" w:type="dxa"/>
            <w:vAlign w:val="center"/>
          </w:tcPr>
          <w:p w14:paraId="4CA71B8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74</w:t>
            </w:r>
          </w:p>
        </w:tc>
        <w:tc>
          <w:tcPr>
            <w:tcW w:w="1008" w:type="dxa"/>
            <w:vAlign w:val="center"/>
          </w:tcPr>
          <w:p w14:paraId="4370F76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71</w:t>
            </w:r>
          </w:p>
        </w:tc>
        <w:tc>
          <w:tcPr>
            <w:tcW w:w="1008" w:type="dxa"/>
            <w:vAlign w:val="center"/>
          </w:tcPr>
          <w:p w14:paraId="5013AE8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仿宋_GB2312" w:cs="仿宋_GB2312"/>
                <w:color w:val="auto"/>
                <w:sz w:val="21"/>
                <w:szCs w:val="21"/>
                <w:highlight w:val="none"/>
                <w:vertAlign w:val="baseline"/>
                <w:lang w:val="en-US" w:eastAsia="zh-CN"/>
              </w:rPr>
            </w:pPr>
            <w:r>
              <w:rPr>
                <w:rFonts w:hint="eastAsia" w:ascii="Times New Roman" w:hAnsi="Times New Roman" w:eastAsia="仿宋_GB2312" w:cs="仿宋_GB2312"/>
                <w:color w:val="auto"/>
                <w:sz w:val="21"/>
                <w:szCs w:val="21"/>
                <w:highlight w:val="none"/>
                <w:vertAlign w:val="baseline"/>
                <w:lang w:val="en-US" w:eastAsia="zh-CN"/>
              </w:rPr>
              <w:t>71</w:t>
            </w:r>
          </w:p>
        </w:tc>
      </w:tr>
    </w:tbl>
    <w:p w14:paraId="0394D6CF">
      <w:pPr>
        <w:pageBreakBefore w:val="0"/>
        <w:kinsoku/>
        <w:overflowPunct/>
        <w:topLinePunct w:val="0"/>
        <w:autoSpaceDE/>
        <w:autoSpaceDN/>
        <w:bidi w:val="0"/>
        <w:adjustRightInd/>
        <w:snapToGrid/>
        <w:spacing w:line="590" w:lineRule="exact"/>
        <w:ind w:firstLine="643" w:firstLineChars="0"/>
        <w:rPr>
          <w:rFonts w:hint="default" w:ascii="Times New Roman" w:hAnsi="Times New Roman" w:eastAsia="仿宋_GB2312" w:cs="Times New Roman"/>
          <w:b/>
          <w:color w:val="auto"/>
          <w:sz w:val="32"/>
          <w:highlight w:val="none"/>
        </w:rPr>
      </w:pPr>
    </w:p>
    <w:p w14:paraId="17364299">
      <w:pPr>
        <w:pageBreakBefore w:val="0"/>
        <w:kinsoku/>
        <w:overflowPunct/>
        <w:topLinePunct w:val="0"/>
        <w:autoSpaceDE/>
        <w:autoSpaceDN/>
        <w:bidi w:val="0"/>
        <w:adjustRightInd/>
        <w:snapToGrid/>
        <w:spacing w:line="590" w:lineRule="exact"/>
        <w:rPr>
          <w:rFonts w:hint="default" w:ascii="Times New Roman" w:hAnsi="Times New Roman"/>
          <w:color w:val="auto"/>
          <w:highlight w:val="none"/>
        </w:rPr>
      </w:pPr>
      <w:r>
        <w:rPr>
          <w:rFonts w:hint="eastAsia" w:ascii="Times New Roman" w:hAnsi="Times New Roman"/>
          <w:b/>
          <w:bCs/>
          <w:color w:val="auto"/>
          <w:highlight w:val="none"/>
          <w:lang w:val="en-US" w:eastAsia="zh-CN"/>
        </w:rPr>
        <w:t>二是成功构建狮头鹅卤制加工全产业链开发体系。</w:t>
      </w:r>
      <w:r>
        <w:rPr>
          <w:rFonts w:hint="default" w:ascii="Times New Roman" w:hAnsi="Times New Roman"/>
          <w:color w:val="auto"/>
          <w:highlight w:val="none"/>
        </w:rPr>
        <w:t>坚持探索地方特色卤味食品标准化生产体系，打造卤鹅休闲零食、卤鹅冷冻食品，依托线上电商及线下连锁渠道，澄海狮头鹅产品销往全国各地</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成功构建狮头鹅精深加工纵向延伸、横向拓展产业布局</w:t>
      </w:r>
      <w:r>
        <w:rPr>
          <w:rFonts w:hint="default" w:ascii="Times New Roman" w:hAnsi="Times New Roman"/>
          <w:color w:val="auto"/>
          <w:highlight w:val="none"/>
        </w:rPr>
        <w:t>。</w:t>
      </w:r>
    </w:p>
    <w:p w14:paraId="6758BB87">
      <w:pPr>
        <w:pageBreakBefore w:val="0"/>
        <w:kinsoku/>
        <w:overflowPunct/>
        <w:topLinePunct w:val="0"/>
        <w:autoSpaceDE/>
        <w:autoSpaceDN/>
        <w:bidi w:val="0"/>
        <w:adjustRightInd/>
        <w:snapToGrid/>
        <w:spacing w:line="590" w:lineRule="exact"/>
        <w:rPr>
          <w:rFonts w:hint="default" w:ascii="Times New Roman" w:hAnsi="Times New Roman"/>
          <w:color w:val="auto"/>
          <w:highlight w:val="none"/>
        </w:rPr>
      </w:pPr>
      <w:r>
        <w:rPr>
          <w:rFonts w:hint="default" w:ascii="Times New Roman" w:hAnsi="Times New Roman"/>
          <w:b/>
          <w:bCs/>
          <w:color w:val="auto"/>
          <w:highlight w:val="none"/>
        </w:rPr>
        <w:t>卤制设备及工艺先进。</w:t>
      </w:r>
      <w:r>
        <w:rPr>
          <w:rFonts w:hint="default" w:ascii="Times New Roman" w:hAnsi="Times New Roman"/>
          <w:b w:val="0"/>
          <w:bCs w:val="0"/>
          <w:color w:val="auto"/>
          <w:highlight w:val="none"/>
        </w:rPr>
        <w:t>拥有无菌自动化卤鹅车间1000立方米，“自动化中央厨房+数字生产设备”卤鹅车间800立方米</w:t>
      </w:r>
      <w:r>
        <w:rPr>
          <w:rFonts w:hint="default" w:ascii="Times New Roman" w:hAnsi="Times New Roman"/>
          <w:color w:val="auto"/>
          <w:highlight w:val="none"/>
        </w:rPr>
        <w:t>，狮头鹅卤制生产线、切割及包装过程全部实现标准化及自动化。卤制加工狮头鹅从品控、化验、称重、清洗、飞水、卤制、预冷、真空包装、速冻、冷冻贮存已形成标准生产工艺，</w:t>
      </w:r>
      <w:r>
        <w:rPr>
          <w:rFonts w:hint="default" w:ascii="Times New Roman" w:hAnsi="Times New Roman"/>
          <w:b w:val="0"/>
          <w:bCs w:val="0"/>
          <w:color w:val="auto"/>
          <w:highlight w:val="none"/>
        </w:rPr>
        <w:t>15个人每天能完成1000只以上狮头鹅的卤制和包装，生产效率较传统工艺提升近3倍，卤制日产量最高可达4000只</w:t>
      </w:r>
      <w:r>
        <w:rPr>
          <w:rFonts w:hint="default" w:ascii="Times New Roman" w:hAnsi="Times New Roman"/>
          <w:color w:val="auto"/>
          <w:highlight w:val="none"/>
        </w:rPr>
        <w:t>。同时制定《澄海狮头鹅卤制技术规范》团体标准，实现靠技术、经验和秘方传承的制卤传统技艺走向标准化、规范化、产业化。</w:t>
      </w:r>
    </w:p>
    <w:p w14:paraId="6FFCA26F">
      <w:pPr>
        <w:pageBreakBefore w:val="0"/>
        <w:kinsoku/>
        <w:overflowPunct/>
        <w:topLinePunct w:val="0"/>
        <w:autoSpaceDE/>
        <w:autoSpaceDN/>
        <w:bidi w:val="0"/>
        <w:adjustRightInd/>
        <w:snapToGrid/>
        <w:spacing w:line="590" w:lineRule="exact"/>
        <w:rPr>
          <w:rFonts w:hint="default" w:ascii="Times New Roman" w:hAnsi="Times New Roman"/>
          <w:color w:val="auto"/>
          <w:highlight w:val="none"/>
        </w:rPr>
      </w:pPr>
      <w:r>
        <w:rPr>
          <w:rFonts w:hint="default" w:ascii="Times New Roman" w:hAnsi="Times New Roman"/>
          <w:b/>
          <w:bCs/>
          <w:color w:val="auto"/>
          <w:highlight w:val="none"/>
        </w:rPr>
        <w:t>多品类产品开发丰富</w:t>
      </w:r>
      <w:r>
        <w:rPr>
          <w:rFonts w:hint="default" w:ascii="Times New Roman" w:hAnsi="Times New Roman"/>
          <w:color w:val="auto"/>
          <w:highlight w:val="none"/>
        </w:rPr>
        <w:t>。成功建立狮头鹅禽肉、蛋、绒产品加工体系，开发羽绒加工、肥肝生产、风味特色鹅等一系列狮头鹅精深加工产品，形成种鹅繁育、种蛋电机孵化、鹅苗销售、肉鹅饲养到冰鲜配送、卤制加工、羽绒加工一条完整的精细产业链，狮头鹅加工转化率达</w:t>
      </w:r>
      <w:r>
        <w:rPr>
          <w:rFonts w:hint="eastAsia" w:ascii="Times New Roman" w:hAnsi="Times New Roman"/>
          <w:color w:val="auto"/>
          <w:highlight w:val="none"/>
          <w:lang w:val="en-US" w:eastAsia="zh-CN"/>
        </w:rPr>
        <w:t>92</w:t>
      </w:r>
      <w:r>
        <w:rPr>
          <w:rFonts w:hint="default" w:ascii="Times New Roman" w:hAnsi="Times New Roman"/>
          <w:color w:val="auto"/>
          <w:highlight w:val="none"/>
        </w:rPr>
        <w:t>%。</w:t>
      </w:r>
    </w:p>
    <w:p w14:paraId="67BDE7EC">
      <w:pPr>
        <w:pageBreakBefore w:val="0"/>
        <w:kinsoku/>
        <w:overflowPunct/>
        <w:topLinePunct w:val="0"/>
        <w:autoSpaceDE/>
        <w:autoSpaceDN/>
        <w:bidi w:val="0"/>
        <w:adjustRightInd/>
        <w:snapToGrid/>
        <w:spacing w:line="590" w:lineRule="exact"/>
        <w:ind w:left="0" w:leftChars="0" w:firstLine="643" w:firstLineChars="200"/>
        <w:rPr>
          <w:rFonts w:hint="default" w:ascii="Times New Roman" w:hAnsi="Times New Roman"/>
          <w:color w:val="auto"/>
          <w:highlight w:val="none"/>
        </w:rPr>
      </w:pPr>
      <w:r>
        <w:rPr>
          <w:rFonts w:hint="eastAsia" w:ascii="Times New Roman" w:hAnsi="Times New Roman" w:cs="Times New Roman"/>
          <w:b/>
          <w:color w:val="auto"/>
          <w:sz w:val="32"/>
          <w:highlight w:val="none"/>
          <w:lang w:val="en-US" w:eastAsia="zh-CN"/>
        </w:rPr>
        <w:t>三是</w:t>
      </w:r>
      <w:r>
        <w:rPr>
          <w:rFonts w:hint="eastAsia" w:ascii="Times New Roman" w:hAnsi="Times New Roman" w:eastAsia="仿宋_GB2312" w:cs="Times New Roman"/>
          <w:b/>
          <w:color w:val="auto"/>
          <w:sz w:val="32"/>
          <w:highlight w:val="none"/>
          <w:lang w:val="en-US" w:eastAsia="zh-CN"/>
        </w:rPr>
        <w:t>创新形成“锁鲜技术+冷库+冷藏车”高效流通体系</w:t>
      </w:r>
      <w:r>
        <w:rPr>
          <w:rFonts w:hint="default" w:ascii="Times New Roman" w:hAnsi="Times New Roman" w:eastAsia="仿宋_GB2312" w:cs="Times New Roman"/>
          <w:b/>
          <w:color w:val="auto"/>
          <w:sz w:val="32"/>
          <w:highlight w:val="none"/>
        </w:rPr>
        <w:t>。</w:t>
      </w:r>
      <w:r>
        <w:rPr>
          <w:rFonts w:hint="default" w:ascii="Times New Roman" w:hAnsi="Times New Roman"/>
          <w:color w:val="auto"/>
          <w:highlight w:val="none"/>
        </w:rPr>
        <w:t>澄海区持续加大科技创新技术，率先引进液氮速冻生产设备，开创粤东活鹅宰杀无缝衔接鲜鹅供应市场</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农产品冷链流通率达54%</w:t>
      </w:r>
      <w:r>
        <w:rPr>
          <w:rFonts w:hint="default" w:ascii="Times New Roman" w:hAnsi="Times New Roman"/>
          <w:color w:val="auto"/>
          <w:highlight w:val="none"/>
        </w:rPr>
        <w:t>。</w:t>
      </w:r>
      <w:r>
        <w:rPr>
          <w:rFonts w:hint="default" w:ascii="Times New Roman" w:hAnsi="Times New Roman"/>
          <w:b w:val="0"/>
          <w:bCs w:val="0"/>
          <w:color w:val="auto"/>
          <w:highlight w:val="none"/>
        </w:rPr>
        <w:t>购置的液氮速冻设备，温度能瞬间达到零下120℃以下，液氮速冻机每次能速冻180只狮头鹅，每次速冻时间55分钟左右</w:t>
      </w:r>
      <w:r>
        <w:rPr>
          <w:rFonts w:hint="default" w:ascii="Times New Roman" w:hAnsi="Times New Roman"/>
          <w:color w:val="auto"/>
          <w:highlight w:val="none"/>
        </w:rPr>
        <w:t>，采用液氮锁鲜技术冷冻的狮头鹅，能有效保证了在运输途中的产品的质量，根据技术分析，采用液氮速冻的产品，在解冻后，产品营养和口感恢复程度接近原生鲜水平。目前，</w:t>
      </w:r>
      <w:r>
        <w:rPr>
          <w:rFonts w:hint="default" w:ascii="Times New Roman" w:hAnsi="Times New Roman"/>
          <w:b w:val="0"/>
          <w:bCs w:val="0"/>
          <w:color w:val="auto"/>
          <w:highlight w:val="none"/>
        </w:rPr>
        <w:t>冷链总库容10万吨，现存库容4万吨，在冷链冷冻技术领域取得专利技术2项及软件产品著作权7项</w:t>
      </w:r>
      <w:r>
        <w:rPr>
          <w:rFonts w:hint="default" w:ascii="Times New Roman" w:hAnsi="Times New Roman"/>
          <w:color w:val="auto"/>
          <w:highlight w:val="none"/>
        </w:rPr>
        <w:t>。已培育广东辉源机械股份有限公司、炼锋冷冻有限公司、海源冷链配送有限公司、海特果菜有限公司等4家为主导和多家冷链物流龙头企业，经营主体实力较强。其中，</w:t>
      </w:r>
      <w:r>
        <w:rPr>
          <w:rFonts w:hint="default" w:ascii="Times New Roman" w:hAnsi="Times New Roman"/>
          <w:b w:val="0"/>
          <w:bCs w:val="0"/>
          <w:color w:val="auto"/>
          <w:highlight w:val="none"/>
        </w:rPr>
        <w:t>广东辉源机械股份有限公司</w:t>
      </w:r>
      <w:r>
        <w:rPr>
          <w:rFonts w:hint="default" w:ascii="Times New Roman" w:hAnsi="Times New Roman"/>
          <w:color w:val="auto"/>
          <w:highlight w:val="none"/>
        </w:rPr>
        <w:t>的冷库约为70000立方米，库容量4万吨，可实现年吞吐量超过33万吨，加工能力3000吨/年，冷库温区为零上10度至零下60度，可提供常温存储、冷藏存储、冷冻存储及超低温存储，是粤东地区最大的冷库。自有15辆载重5吨，标准4.2米冷藏车，可调配管理的社会车辆有近100辆，所有车辆均配备GPS监控管理系统。先后获得中国冷链物流50强企业、中国最美冷库、进境肉类及水产品指定冷库、广东省供应链试点企业、广东省农业龙头企业、广东省守合同重信用企业等荣誉称号。炼锋冷冻有限公司总库容4千吨，待储藏容量1千吨。拥有国内SC生产许可标准认证、国际进出口生产许可标准认证以及国际HAPPC生产标准化认证生产车间4500平方米，可实现农副产品日均速冻加工入库200吨，年均生产加工、速冻包装、冷储配送总量可达6万吨。拥有一个农副产品冷藏周转5000吨的冷藏保鲜库，自有中型冷链运输车2部。</w:t>
      </w:r>
      <w:r>
        <w:rPr>
          <w:rFonts w:hint="default" w:ascii="Times New Roman" w:hAnsi="Times New Roman"/>
          <w:b w:val="0"/>
          <w:bCs w:val="0"/>
          <w:color w:val="auto"/>
          <w:highlight w:val="none"/>
        </w:rPr>
        <w:t>海源冷链配送有限公司</w:t>
      </w:r>
      <w:r>
        <w:rPr>
          <w:rFonts w:hint="default" w:ascii="Times New Roman" w:hAnsi="Times New Roman"/>
          <w:color w:val="auto"/>
          <w:highlight w:val="none"/>
        </w:rPr>
        <w:t>总库容2.2万吨，待储藏容量6千吨。拥有高温保鲜库模块库容量500吨，低温冻库7.4万立方米，可容纳冷冻食品、水产品储藏4万吨库位。获得</w:t>
      </w:r>
      <w:r>
        <w:rPr>
          <w:rFonts w:hint="default" w:ascii="Times New Roman" w:hAnsi="Times New Roman"/>
          <w:color w:val="auto"/>
          <w:highlight w:val="none"/>
          <w:lang w:eastAsia="zh-CN"/>
        </w:rPr>
        <w:t>“</w:t>
      </w:r>
      <w:r>
        <w:rPr>
          <w:rFonts w:hint="default" w:ascii="Times New Roman" w:hAnsi="Times New Roman"/>
          <w:color w:val="auto"/>
          <w:highlight w:val="none"/>
        </w:rPr>
        <w:t>海源冷链智能控制柜控制软件V1.0</w:t>
      </w:r>
      <w:r>
        <w:rPr>
          <w:rFonts w:hint="default" w:ascii="Times New Roman" w:hAnsi="Times New Roman"/>
          <w:color w:val="auto"/>
          <w:highlight w:val="none"/>
          <w:lang w:eastAsia="zh-CN"/>
        </w:rPr>
        <w:t>”“</w:t>
      </w:r>
      <w:r>
        <w:rPr>
          <w:rFonts w:hint="default" w:ascii="Times New Roman" w:hAnsi="Times New Roman"/>
          <w:color w:val="auto"/>
          <w:highlight w:val="none"/>
        </w:rPr>
        <w:t>海源冷链智能冷冻车控制软件V1.0</w:t>
      </w:r>
      <w:r>
        <w:rPr>
          <w:rFonts w:hint="default" w:ascii="Times New Roman" w:hAnsi="Times New Roman"/>
          <w:color w:val="auto"/>
          <w:highlight w:val="none"/>
          <w:lang w:eastAsia="zh-CN"/>
        </w:rPr>
        <w:t>”“</w:t>
      </w:r>
      <w:r>
        <w:rPr>
          <w:rFonts w:hint="default" w:ascii="Times New Roman" w:hAnsi="Times New Roman"/>
          <w:color w:val="auto"/>
          <w:highlight w:val="none"/>
        </w:rPr>
        <w:t>海源冷链制冷机控制软件V1.0</w:t>
      </w:r>
      <w:r>
        <w:rPr>
          <w:rFonts w:hint="default" w:ascii="Times New Roman" w:hAnsi="Times New Roman"/>
          <w:color w:val="auto"/>
          <w:highlight w:val="none"/>
          <w:lang w:eastAsia="zh-CN"/>
        </w:rPr>
        <w:t>”</w:t>
      </w:r>
      <w:r>
        <w:rPr>
          <w:rFonts w:hint="default" w:ascii="Times New Roman" w:hAnsi="Times New Roman"/>
          <w:color w:val="auto"/>
          <w:highlight w:val="none"/>
        </w:rPr>
        <w:t>软件产品著作权3项。</w:t>
      </w:r>
    </w:p>
    <w:p w14:paraId="17A96859">
      <w:pPr>
        <w:pStyle w:val="5"/>
        <w:rPr>
          <w:rFonts w:hint="default" w:ascii="Times New Roman" w:hAnsi="Times New Roman" w:cstheme="minorBidi"/>
          <w:b w:val="0"/>
          <w:color w:val="auto"/>
          <w:sz w:val="32"/>
          <w:highlight w:val="none"/>
          <w:lang w:eastAsia="zh-CN"/>
        </w:rPr>
      </w:pPr>
      <w:bookmarkStart w:id="7" w:name="_Toc21722"/>
      <w:r>
        <w:rPr>
          <w:rFonts w:hint="eastAsia" w:ascii="Times New Roman" w:hAnsi="Times New Roman" w:cstheme="minorBidi"/>
          <w:b w:val="0"/>
          <w:color w:val="auto"/>
          <w:sz w:val="32"/>
          <w:highlight w:val="none"/>
          <w:lang w:val="en-US" w:eastAsia="zh-CN"/>
        </w:rPr>
        <w:t>（3）</w:t>
      </w:r>
      <w:r>
        <w:rPr>
          <w:rFonts w:hint="eastAsia" w:ascii="Times New Roman" w:hAnsi="Times New Roman" w:cstheme="minorBidi"/>
          <w:b w:val="0"/>
          <w:color w:val="auto"/>
          <w:sz w:val="32"/>
          <w:highlight w:val="none"/>
          <w:lang w:eastAsia="zh-CN"/>
        </w:rPr>
        <w:t>“</w:t>
      </w:r>
      <w:r>
        <w:rPr>
          <w:rFonts w:hint="eastAsia" w:ascii="Times New Roman" w:hAnsi="Times New Roman" w:cstheme="minorBidi"/>
          <w:b w:val="0"/>
          <w:color w:val="auto"/>
          <w:sz w:val="32"/>
          <w:highlight w:val="none"/>
          <w:lang w:val="en-US" w:eastAsia="zh-CN"/>
        </w:rPr>
        <w:t>两园三区</w:t>
      </w:r>
      <w:r>
        <w:rPr>
          <w:rFonts w:hint="eastAsia" w:ascii="Times New Roman" w:hAnsi="Times New Roman" w:cstheme="minorBidi"/>
          <w:b w:val="0"/>
          <w:color w:val="auto"/>
          <w:sz w:val="32"/>
          <w:highlight w:val="none"/>
          <w:lang w:eastAsia="zh-CN"/>
        </w:rPr>
        <w:t>”</w:t>
      </w:r>
      <w:r>
        <w:rPr>
          <w:rFonts w:hint="eastAsia" w:ascii="Times New Roman" w:hAnsi="Times New Roman" w:cstheme="minorBidi"/>
          <w:b w:val="0"/>
          <w:color w:val="auto"/>
          <w:sz w:val="32"/>
          <w:highlight w:val="none"/>
          <w:lang w:val="en-US" w:eastAsia="zh-CN"/>
        </w:rPr>
        <w:t>助力狮头鹅预制菜打通内外“双循环”</w:t>
      </w:r>
      <w:bookmarkEnd w:id="7"/>
    </w:p>
    <w:p w14:paraId="58F4194B">
      <w:pPr>
        <w:pageBreakBefore w:val="0"/>
        <w:kinsoku/>
        <w:overflowPunct/>
        <w:topLinePunct w:val="0"/>
        <w:autoSpaceDE/>
        <w:autoSpaceDN/>
        <w:bidi w:val="0"/>
        <w:adjustRightInd/>
        <w:snapToGrid/>
        <w:spacing w:line="590" w:lineRule="exact"/>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深入贯彻落实中央一号文件培育发展预制菜产业、广东省《关于加快推进广东预制菜产业高质量发展十条措施》《</w:t>
      </w:r>
      <w:r>
        <w:rPr>
          <w:rFonts w:hint="default" w:ascii="Times New Roman" w:hAnsi="Times New Roman"/>
          <w:color w:val="auto"/>
          <w:highlight w:val="none"/>
        </w:rPr>
        <w:t>汕头市加快推进潮汕菜预制菜产业发展工作措施</w:t>
      </w:r>
      <w:r>
        <w:rPr>
          <w:rFonts w:hint="eastAsia" w:ascii="Times New Roman" w:hAnsi="Times New Roman"/>
          <w:color w:val="auto"/>
          <w:highlight w:val="none"/>
          <w:lang w:val="en-US" w:eastAsia="zh-CN"/>
        </w:rPr>
        <w:t>》战略部署，</w:t>
      </w:r>
      <w:r>
        <w:rPr>
          <w:rFonts w:hint="default" w:ascii="Times New Roman" w:hAnsi="Times New Roman"/>
          <w:color w:val="auto"/>
          <w:highlight w:val="none"/>
        </w:rPr>
        <w:t>借力RCEP国际合作新机遇，</w:t>
      </w:r>
      <w:r>
        <w:rPr>
          <w:rFonts w:hint="eastAsia" w:ascii="Times New Roman" w:hAnsi="Times New Roman"/>
          <w:color w:val="auto"/>
          <w:highlight w:val="none"/>
          <w:lang w:val="en-US" w:eastAsia="zh-CN"/>
        </w:rPr>
        <w:t>依托“两区三园”（</w:t>
      </w:r>
      <w:r>
        <w:rPr>
          <w:rFonts w:hint="default" w:ascii="Times New Roman" w:hAnsi="Times New Roman"/>
          <w:color w:val="auto"/>
          <w:highlight w:val="none"/>
        </w:rPr>
        <w:t>国家现代农业示范区</w:t>
      </w:r>
      <w:r>
        <w:rPr>
          <w:rFonts w:hint="eastAsia" w:ascii="Times New Roman" w:hAnsi="Times New Roman"/>
          <w:color w:val="auto"/>
          <w:highlight w:val="none"/>
          <w:lang w:eastAsia="zh-CN"/>
        </w:rPr>
        <w:t>、</w:t>
      </w:r>
      <w:r>
        <w:rPr>
          <w:rFonts w:hint="default" w:ascii="Times New Roman" w:hAnsi="Times New Roman"/>
          <w:color w:val="auto"/>
          <w:highlight w:val="none"/>
        </w:rPr>
        <w:t>农产品跨境电子商务综合试验区</w:t>
      </w:r>
      <w:r>
        <w:rPr>
          <w:rFonts w:hint="eastAsia" w:ascii="Times New Roman" w:hAnsi="Times New Roman"/>
          <w:color w:val="auto"/>
          <w:highlight w:val="none"/>
          <w:lang w:eastAsia="zh-CN"/>
        </w:rPr>
        <w:t>、</w:t>
      </w:r>
      <w:r>
        <w:rPr>
          <w:rFonts w:hint="default" w:ascii="Times New Roman" w:hAnsi="Times New Roman"/>
          <w:color w:val="auto"/>
          <w:highlight w:val="none"/>
        </w:rPr>
        <w:t>澄海狮头鹅省、市级现代农业产业园、汕头市澄海区农产品冷链物流现代农业产业园</w:t>
      </w:r>
      <w:r>
        <w:rPr>
          <w:rFonts w:hint="eastAsia" w:ascii="Times New Roman" w:hAnsi="Times New Roman"/>
          <w:color w:val="auto"/>
          <w:highlight w:val="none"/>
          <w:lang w:val="en-US" w:eastAsia="zh-CN"/>
        </w:rPr>
        <w:t>）平台优势，</w:t>
      </w:r>
      <w:r>
        <w:rPr>
          <w:rFonts w:hint="default" w:ascii="Times New Roman" w:hAnsi="Times New Roman"/>
          <w:color w:val="auto"/>
          <w:highlight w:val="none"/>
        </w:rPr>
        <w:t>开发推广“狮头鹅原料基地+预制菜+物流配送”“预制菜+餐饮门店”“预制菜+电商”“预制菜+出口创汇”等新模式</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成功打通狮头鹅预制菜外销桥梁。</w:t>
      </w:r>
    </w:p>
    <w:p w14:paraId="5EB07691">
      <w:pPr>
        <w:pageBreakBefore w:val="0"/>
        <w:kinsoku/>
        <w:overflowPunct/>
        <w:topLinePunct w:val="0"/>
        <w:autoSpaceDE/>
        <w:autoSpaceDN/>
        <w:bidi w:val="0"/>
        <w:adjustRightInd/>
        <w:snapToGrid/>
        <w:spacing w:line="590" w:lineRule="exact"/>
        <w:rPr>
          <w:rFonts w:hint="default" w:ascii="Times New Roman" w:hAnsi="Times New Roman"/>
          <w:color w:val="auto"/>
          <w:highlight w:val="none"/>
        </w:rPr>
      </w:pPr>
      <w:r>
        <w:rPr>
          <w:rFonts w:hint="eastAsia" w:ascii="Times New Roman" w:hAnsi="Times New Roman"/>
          <w:b/>
          <w:bCs/>
          <w:color w:val="auto"/>
          <w:highlight w:val="none"/>
          <w:lang w:val="en-US" w:eastAsia="zh-CN"/>
        </w:rPr>
        <w:t>一是多措并举助力</w:t>
      </w:r>
      <w:r>
        <w:rPr>
          <w:rFonts w:hint="default" w:ascii="Times New Roman" w:hAnsi="Times New Roman"/>
          <w:b/>
          <w:bCs/>
          <w:color w:val="auto"/>
          <w:highlight w:val="none"/>
        </w:rPr>
        <w:t>狮头鹅预制菜排名位居各大线上平台前列</w:t>
      </w:r>
      <w:r>
        <w:rPr>
          <w:rFonts w:hint="eastAsia" w:ascii="Times New Roman" w:hAnsi="Times New Roman"/>
          <w:b/>
          <w:bCs/>
          <w:color w:val="auto"/>
          <w:highlight w:val="none"/>
          <w:lang w:eastAsia="zh-CN"/>
        </w:rPr>
        <w:t>。</w:t>
      </w:r>
      <w:r>
        <w:rPr>
          <w:rFonts w:hint="eastAsia" w:ascii="Times New Roman" w:hAnsi="Times New Roman"/>
          <w:color w:val="auto"/>
          <w:highlight w:val="none"/>
          <w:lang w:val="en-US" w:eastAsia="zh-CN"/>
        </w:rPr>
        <w:t>狮头鹅及其生产加工企业由53家增加至300多家，粤东地区规模最大的卤味食品公司3家，狮头鹅卤制加工企业全部取得HACCP、ISO22000体系认证证书，已形成以心瓷科技、熙望食品、海特等为代表的狮头鹅预制菜加工企业集群，引进全自动分切、液氮锁鲜等高新技术设备300多套，打造“自动化+数字化”现代化生产车间及集品控、化验、称重清洗、飞水、卤制、预冷、真空包装、速冻、冷冻贮存等现代化设备于一体的无菌自动化卤制加工生产车间100多个，五星级酒店大厨团队技术支持。通过微波杀菌、液氮锁鲜保存、贴体包装等技术，卤鹅制品保质期从几天延长至半年。</w:t>
      </w:r>
      <w:r>
        <w:rPr>
          <w:rFonts w:hint="default" w:ascii="Times New Roman" w:hAnsi="Times New Roman"/>
          <w:color w:val="auto"/>
          <w:highlight w:val="none"/>
        </w:rPr>
        <w:t>标准化生产中心自动化卤制以及锁鲜保存技术</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实现卤鹅标准化量产量销，达到年产30万只鹅，1300万只鹅掌鹅翼，40万只鹅头</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目前已成功构建县镇村三级物流配送体系，深化与朴朴、</w:t>
      </w:r>
      <w:r>
        <w:rPr>
          <w:rFonts w:hint="default" w:ascii="Times New Roman" w:hAnsi="Times New Roman"/>
          <w:color w:val="auto"/>
          <w:highlight w:val="none"/>
        </w:rPr>
        <w:t>叮咚买菜、</w:t>
      </w:r>
      <w:r>
        <w:rPr>
          <w:rFonts w:hint="eastAsia" w:ascii="Times New Roman" w:hAnsi="Times New Roman"/>
          <w:color w:val="auto"/>
          <w:highlight w:val="none"/>
          <w:lang w:val="en-US" w:eastAsia="zh-CN"/>
        </w:rPr>
        <w:t>京东自营、盒马鲜生等100多家国内一线生鲜平台和知名互联网合作，</w:t>
      </w:r>
      <w:r>
        <w:rPr>
          <w:rFonts w:hint="default" w:ascii="Times New Roman" w:hAnsi="Times New Roman"/>
          <w:color w:val="auto"/>
          <w:highlight w:val="none"/>
        </w:rPr>
        <w:t>汕头农业电商产业园及汕头抖音电商直播基地落户澄海，</w:t>
      </w:r>
      <w:r>
        <w:rPr>
          <w:rFonts w:hint="eastAsia" w:ascii="Times New Roman" w:hAnsi="Times New Roman"/>
          <w:color w:val="auto"/>
          <w:highlight w:val="none"/>
          <w:lang w:val="en-US" w:eastAsia="zh-CN"/>
        </w:rPr>
        <w:t>销售品类涉及37个村居和各区县1000多种名特优新农产品。建立百款狮头鹅预制菜展销平台“云上鹅市”，全网首推“吃鹅卡”预售模式，澄</w:t>
      </w:r>
      <w:r>
        <w:rPr>
          <w:rFonts w:hint="default" w:ascii="Times New Roman" w:hAnsi="Times New Roman"/>
          <w:color w:val="auto"/>
          <w:highlight w:val="none"/>
        </w:rPr>
        <w:t>海狮头鹅位居京东方便菜新品排行榜第1名，位居Maigoo生活榜中国十大名鹅第二位</w:t>
      </w:r>
      <w:r>
        <w:rPr>
          <w:rFonts w:hint="eastAsia" w:ascii="Times New Roman" w:hAnsi="Times New Roman"/>
          <w:color w:val="auto"/>
          <w:highlight w:val="none"/>
          <w:lang w:eastAsia="zh-CN"/>
        </w:rPr>
        <w:t>。</w:t>
      </w:r>
      <w:r>
        <w:rPr>
          <w:rFonts w:hint="default" w:ascii="Times New Roman" w:hAnsi="Times New Roman"/>
          <w:color w:val="auto"/>
          <w:highlight w:val="none"/>
        </w:rPr>
        <w:t>2022年，物只卤鹅的澄海狮头鹅拼盘预制菜在淘宝平台开播吸引了线上300多万名用户观看</w:t>
      </w:r>
      <w:r>
        <w:rPr>
          <w:rFonts w:hint="eastAsia" w:ascii="Times New Roman" w:hAnsi="Times New Roman"/>
          <w:color w:val="auto"/>
          <w:highlight w:val="none"/>
          <w:lang w:eastAsia="zh-CN"/>
        </w:rPr>
        <w:t>，</w:t>
      </w:r>
      <w:r>
        <w:rPr>
          <w:rFonts w:hint="default" w:ascii="Times New Roman" w:hAnsi="Times New Roman"/>
          <w:color w:val="auto"/>
          <w:highlight w:val="none"/>
        </w:rPr>
        <w:t>狮头鹅通过各类电子商务平台线上销售额达3亿元，占农产品总销售额的10%。</w:t>
      </w:r>
    </w:p>
    <w:p w14:paraId="7B8CD13F">
      <w:pPr>
        <w:pageBreakBefore w:val="0"/>
        <w:kinsoku/>
        <w:overflowPunct/>
        <w:topLinePunct w:val="0"/>
        <w:autoSpaceDE/>
        <w:autoSpaceDN/>
        <w:bidi w:val="0"/>
        <w:adjustRightInd/>
        <w:snapToGrid/>
        <w:spacing w:line="590" w:lineRule="exact"/>
        <w:rPr>
          <w:rFonts w:hint="default" w:ascii="Times New Roman" w:hAnsi="Times New Roman"/>
          <w:b w:val="0"/>
          <w:bCs w:val="0"/>
          <w:color w:val="auto"/>
          <w:highlight w:val="none"/>
        </w:rPr>
      </w:pPr>
      <w:r>
        <w:rPr>
          <w:rFonts w:hint="eastAsia" w:ascii="Times New Roman" w:hAnsi="Times New Roman"/>
          <w:b/>
          <w:bCs/>
          <w:color w:val="auto"/>
          <w:highlight w:val="none"/>
          <w:lang w:val="en-US" w:eastAsia="zh-CN"/>
        </w:rPr>
        <w:t>二是</w:t>
      </w:r>
      <w:r>
        <w:rPr>
          <w:rFonts w:hint="default" w:ascii="Times New Roman" w:hAnsi="Times New Roman"/>
          <w:b/>
          <w:bCs/>
          <w:color w:val="auto"/>
          <w:highlight w:val="none"/>
        </w:rPr>
        <w:t>澄海狮头鹅抢抓RCEP新机，实现狮头鹅出口零的突破</w:t>
      </w:r>
      <w:r>
        <w:rPr>
          <w:rFonts w:hint="eastAsia" w:ascii="Times New Roman" w:hAnsi="Times New Roman"/>
          <w:b/>
          <w:bCs/>
          <w:color w:val="auto"/>
          <w:highlight w:val="none"/>
          <w:lang w:eastAsia="zh-CN"/>
        </w:rPr>
        <w:t>。</w:t>
      </w:r>
      <w:r>
        <w:rPr>
          <w:rFonts w:hint="default" w:ascii="Times New Roman" w:hAnsi="Times New Roman"/>
          <w:color w:val="auto"/>
          <w:highlight w:val="none"/>
        </w:rPr>
        <w:t>在潮汕地区，有“无鹅不成宴”之说，作为汕头卤水重要代表之一，澄海卤鹅远近闻名。澄海狮头鹅已形成一种富有特色的地方美食文化，也成为很多海外侨胞抒发</w:t>
      </w:r>
      <w:r>
        <w:rPr>
          <w:rFonts w:hint="eastAsia" w:ascii="Times New Roman" w:hAnsi="Times New Roman"/>
          <w:color w:val="auto"/>
          <w:highlight w:val="none"/>
          <w:lang w:eastAsia="zh-CN"/>
        </w:rPr>
        <w:t>思乡</w:t>
      </w:r>
      <w:r>
        <w:rPr>
          <w:rFonts w:hint="default" w:ascii="Times New Roman" w:hAnsi="Times New Roman"/>
          <w:color w:val="auto"/>
          <w:highlight w:val="none"/>
        </w:rPr>
        <w:t>情怀的美食寄托。紧抓《区域全面经济伙伴关系协定》（RCEP）签订生效新机遇，在以国内大循环为主体、国内国际双循环相互促进的新发展格局下，立足有侨胞的地方就有澄海狮头鹅的发展理念，积极推动狮头鹅等特色农产品出口创汇，推动澄海狮头鹅走出澄海、走向世界，实现海外侨胞、外国友人能在当地品尝原汁原味的澄海卤水狮头鹅强烈愿望。</w:t>
      </w:r>
      <w:r>
        <w:rPr>
          <w:rFonts w:hint="default" w:ascii="Times New Roman" w:hAnsi="Times New Roman"/>
          <w:color w:val="auto"/>
          <w:highlight w:val="none"/>
          <w:lang w:val="en-US" w:eastAsia="zh-CN"/>
        </w:rPr>
        <w:t>汕头市鹅品汇农业科技有限公司与泰国澄海同乡会签署2000万预制菜出口订单</w:t>
      </w:r>
      <w:r>
        <w:rPr>
          <w:rFonts w:hint="eastAsia" w:ascii="Times New Roman" w:hAnsi="Times New Roman"/>
          <w:color w:val="auto"/>
          <w:highlight w:val="none"/>
          <w:lang w:val="en-US" w:eastAsia="zh-CN"/>
        </w:rPr>
        <w:t>，</w:t>
      </w:r>
      <w:r>
        <w:rPr>
          <w:rFonts w:hint="default" w:ascii="Times New Roman" w:hAnsi="Times New Roman"/>
          <w:b w:val="0"/>
          <w:bCs w:val="0"/>
          <w:color w:val="auto"/>
          <w:highlight w:val="none"/>
        </w:rPr>
        <w:t>广东心瓷科技股份有限公司、汕头市鹅品汇农业科技有限公司等4家企业已完成海关备案认证，2021年12月9日，一批重达436.6千克的卤水狮头鹅出境香港，实现澄海特色农产品狮头鹅首次出口。同月16日，澄海狮头鹅继成功发车香港之后，再次打通出口通道，抢滩泰国市场，填补了东南亚预制菜的空白。</w:t>
      </w:r>
    </w:p>
    <w:p w14:paraId="2A5F5A30">
      <w:pPr>
        <w:pStyle w:val="5"/>
        <w:rPr>
          <w:rFonts w:hint="default" w:ascii="Times New Roman" w:hAnsi="Times New Roman" w:cstheme="minorBidi"/>
          <w:b w:val="0"/>
          <w:color w:val="auto"/>
          <w:sz w:val="32"/>
          <w:highlight w:val="none"/>
          <w:lang w:eastAsia="zh-CN"/>
        </w:rPr>
      </w:pPr>
      <w:bookmarkStart w:id="8" w:name="_Toc18787"/>
      <w:r>
        <w:rPr>
          <w:rFonts w:hint="eastAsia" w:ascii="Times New Roman" w:hAnsi="Times New Roman" w:cstheme="minorBidi"/>
          <w:b w:val="0"/>
          <w:color w:val="auto"/>
          <w:sz w:val="32"/>
          <w:highlight w:val="none"/>
          <w:lang w:val="en-US" w:eastAsia="zh-CN"/>
        </w:rPr>
        <w:t>（4）</w:t>
      </w:r>
      <w:r>
        <w:rPr>
          <w:rFonts w:hint="default" w:ascii="Times New Roman" w:hAnsi="Times New Roman" w:cstheme="minorBidi"/>
          <w:b w:val="0"/>
          <w:color w:val="auto"/>
          <w:sz w:val="32"/>
          <w:highlight w:val="none"/>
          <w:lang w:eastAsia="zh-CN"/>
        </w:rPr>
        <w:t>澄海狮头鹅征服全国味蕾</w:t>
      </w:r>
      <w:bookmarkEnd w:id="8"/>
    </w:p>
    <w:p w14:paraId="6119652A">
      <w:pPr>
        <w:pageBreakBefore w:val="0"/>
        <w:kinsoku/>
        <w:overflowPunct/>
        <w:topLinePunct w:val="0"/>
        <w:autoSpaceDE/>
        <w:autoSpaceDN/>
        <w:bidi w:val="0"/>
        <w:adjustRightInd/>
        <w:snapToGrid/>
        <w:spacing w:line="590" w:lineRule="exact"/>
        <w:rPr>
          <w:rFonts w:hint="default" w:ascii="Times New Roman" w:hAnsi="Times New Roman"/>
          <w:color w:val="auto"/>
          <w:highlight w:val="none"/>
        </w:rPr>
      </w:pPr>
      <w:r>
        <w:rPr>
          <w:rFonts w:hint="default" w:ascii="Times New Roman" w:hAnsi="Times New Roman"/>
          <w:color w:val="auto"/>
          <w:highlight w:val="none"/>
        </w:rPr>
        <w:t>随着狮头鹅消费走向全国，其广阔的市场空间吸引了大量社会资本陆续加入其中，狮头鹅产业发展空间潜力大，产业链上下游深度合作为资本运作提供了平台。</w:t>
      </w:r>
      <w:r>
        <w:rPr>
          <w:rFonts w:hint="default" w:ascii="Times New Roman" w:hAnsi="Times New Roman"/>
          <w:b w:val="0"/>
          <w:bCs w:val="0"/>
          <w:color w:val="auto"/>
          <w:highlight w:val="none"/>
        </w:rPr>
        <w:t>目前</w:t>
      </w:r>
      <w:r>
        <w:rPr>
          <w:rFonts w:hint="eastAsia" w:ascii="Times New Roman" w:hAnsi="Times New Roman"/>
          <w:b w:val="0"/>
          <w:bCs w:val="0"/>
          <w:color w:val="auto"/>
          <w:highlight w:val="none"/>
          <w:lang w:val="en-US" w:eastAsia="zh-CN"/>
        </w:rPr>
        <w:t>澄海狮头鹅线下供应门店超过2000家</w:t>
      </w:r>
      <w:r>
        <w:rPr>
          <w:rFonts w:hint="default" w:ascii="Times New Roman" w:hAnsi="Times New Roman"/>
          <w:color w:val="auto"/>
          <w:highlight w:val="none"/>
        </w:rPr>
        <w:t>。</w:t>
      </w:r>
      <w:r>
        <w:rPr>
          <w:rFonts w:hint="eastAsia" w:ascii="Times New Roman" w:hAnsi="Times New Roman"/>
          <w:color w:val="auto"/>
          <w:highlight w:val="none"/>
          <w:lang w:val="en-US" w:eastAsia="zh-CN"/>
        </w:rPr>
        <w:t>澄海狮头鹅已实现东南亚地区常态化出口，</w:t>
      </w:r>
      <w:r>
        <w:rPr>
          <w:rFonts w:hint="default" w:ascii="Times New Roman" w:hAnsi="Times New Roman"/>
          <w:color w:val="auto"/>
          <w:highlight w:val="none"/>
        </w:rPr>
        <w:t>除去本地市场规模，潮汕地区</w:t>
      </w:r>
      <w:r>
        <w:rPr>
          <w:rFonts w:hint="default" w:ascii="Times New Roman" w:hAnsi="Times New Roman"/>
          <w:b w:val="0"/>
          <w:bCs w:val="0"/>
          <w:color w:val="auto"/>
          <w:highlight w:val="none"/>
        </w:rPr>
        <w:t>每日对外输出狮头鹅鲜品达50000只，日产值超1000万元人民币，年产值可达40亿元人民币。园内企业物只卤鹅精准定位社区经济，创新推出“紧抓消费者500米生活圈，外带、外卖、堂食三线同行”营销模式，并受邀参加2022年GFE世界连锁大会高峰论坛，收获了海口意向代理1个，邀请上门客户4个，咨询意向客户多达20多人</w:t>
      </w:r>
      <w:r>
        <w:rPr>
          <w:rFonts w:hint="default" w:ascii="Times New Roman" w:hAnsi="Times New Roman"/>
          <w:color w:val="auto"/>
          <w:highlight w:val="none"/>
        </w:rPr>
        <w:t>。园内狮头鹅产业可带动经济、文化各方面发展，成为澄海区特色支柱农业产业</w:t>
      </w:r>
      <w:r>
        <w:rPr>
          <w:rFonts w:hint="eastAsia" w:ascii="Times New Roman" w:hAnsi="Times New Roman"/>
          <w:color w:val="auto"/>
          <w:highlight w:val="none"/>
          <w:lang w:eastAsia="zh-CN"/>
        </w:rPr>
        <w:t>，</w:t>
      </w:r>
      <w:r>
        <w:rPr>
          <w:rFonts w:hint="default" w:ascii="Times New Roman" w:hAnsi="Times New Roman"/>
          <w:color w:val="auto"/>
          <w:highlight w:val="none"/>
        </w:rPr>
        <w:t>202</w:t>
      </w:r>
      <w:r>
        <w:rPr>
          <w:rFonts w:hint="eastAsia" w:ascii="Times New Roman" w:hAnsi="Times New Roman"/>
          <w:color w:val="auto"/>
          <w:highlight w:val="none"/>
          <w:lang w:val="en-US" w:eastAsia="zh-CN"/>
        </w:rPr>
        <w:t>3</w:t>
      </w:r>
      <w:r>
        <w:rPr>
          <w:rFonts w:hint="default" w:ascii="Times New Roman" w:hAnsi="Times New Roman"/>
          <w:color w:val="auto"/>
          <w:highlight w:val="none"/>
        </w:rPr>
        <w:t>年，</w:t>
      </w:r>
      <w:r>
        <w:rPr>
          <w:rFonts w:hint="default" w:ascii="Times New Roman" w:hAnsi="Times New Roman"/>
          <w:color w:val="auto"/>
          <w:highlight w:val="none"/>
          <w:lang w:val="en-US" w:eastAsia="zh-CN"/>
        </w:rPr>
        <w:t>澄海狮头鹅生鲜肉鹅年销售量达</w:t>
      </w:r>
      <w:r>
        <w:rPr>
          <w:rFonts w:hint="eastAsia" w:ascii="Times New Roman" w:hAnsi="Times New Roman"/>
          <w:color w:val="auto"/>
          <w:highlight w:val="none"/>
          <w:lang w:val="en-US" w:eastAsia="zh-CN"/>
        </w:rPr>
        <w:t>900</w:t>
      </w:r>
      <w:r>
        <w:rPr>
          <w:rFonts w:hint="default" w:ascii="Times New Roman" w:hAnsi="Times New Roman"/>
          <w:color w:val="auto"/>
          <w:highlight w:val="none"/>
          <w:lang w:val="en-US" w:eastAsia="zh-CN"/>
        </w:rPr>
        <w:t>万只，销售额增长</w:t>
      </w:r>
      <w:r>
        <w:rPr>
          <w:rFonts w:hint="eastAsia" w:ascii="Times New Roman" w:hAnsi="Times New Roman"/>
          <w:color w:val="auto"/>
          <w:highlight w:val="none"/>
          <w:lang w:val="en-US" w:eastAsia="zh-CN"/>
        </w:rPr>
        <w:t>10%—15%。</w:t>
      </w:r>
    </w:p>
    <w:p w14:paraId="18630E9A">
      <w:pPr>
        <w:pageBreakBefore w:val="0"/>
        <w:kinsoku/>
        <w:overflowPunct/>
        <w:topLinePunct w:val="0"/>
        <w:autoSpaceDE/>
        <w:autoSpaceDN/>
        <w:bidi w:val="0"/>
        <w:adjustRightInd/>
        <w:snapToGrid/>
        <w:spacing w:line="590" w:lineRule="exact"/>
        <w:rPr>
          <w:rFonts w:hint="default" w:ascii="Times New Roman" w:hAnsi="Times New Roman"/>
          <w:b/>
          <w:bCs/>
          <w:color w:val="auto"/>
          <w:highlight w:val="none"/>
          <w:lang w:eastAsia="zh-CN"/>
        </w:rPr>
      </w:pPr>
      <w:bookmarkStart w:id="9" w:name="_Toc907"/>
      <w:r>
        <w:rPr>
          <w:rFonts w:hint="eastAsia" w:ascii="Times New Roman" w:hAnsi="Times New Roman"/>
          <w:b/>
          <w:bCs/>
          <w:color w:val="auto"/>
          <w:highlight w:val="none"/>
          <w:lang w:val="en-US" w:eastAsia="zh-CN"/>
        </w:rPr>
        <w:t>（5）</w:t>
      </w:r>
      <w:r>
        <w:rPr>
          <w:rFonts w:hint="default" w:ascii="Times New Roman" w:hAnsi="Times New Roman"/>
          <w:b/>
          <w:bCs/>
          <w:color w:val="auto"/>
          <w:highlight w:val="none"/>
          <w:lang w:eastAsia="zh-CN"/>
        </w:rPr>
        <w:t>“狮头鹅+旅游”融合程度高</w:t>
      </w:r>
      <w:bookmarkEnd w:id="9"/>
    </w:p>
    <w:p w14:paraId="10C2EFA8">
      <w:pPr>
        <w:pageBreakBefore w:val="0"/>
        <w:kinsoku/>
        <w:overflowPunct/>
        <w:topLinePunct w:val="0"/>
        <w:autoSpaceDE/>
        <w:autoSpaceDN/>
        <w:bidi w:val="0"/>
        <w:adjustRightInd/>
        <w:snapToGrid/>
        <w:spacing w:line="590" w:lineRule="exact"/>
        <w:rPr>
          <w:rFonts w:hint="default" w:ascii="Times New Roman" w:hAnsi="Times New Roman"/>
          <w:color w:val="auto"/>
          <w:highlight w:val="none"/>
        </w:rPr>
      </w:pPr>
      <w:r>
        <w:rPr>
          <w:rFonts w:hint="default" w:ascii="Times New Roman" w:hAnsi="Times New Roman"/>
          <w:color w:val="auto"/>
          <w:highlight w:val="none"/>
        </w:rPr>
        <w:t>澄海区是中国“海上丝绸之路”重要起源地之一，浸透鲜明的“潮”“侨”文化特色。深度挖掘潮汕特色农耕文化，积极推进“狮头鹅+旅游”“狮头鹅+文化”“狮头鹅+康养”的农业跨界融合发展，</w:t>
      </w:r>
      <w:r>
        <w:rPr>
          <w:rFonts w:hint="default" w:ascii="Times New Roman" w:hAnsi="Times New Roman"/>
          <w:b w:val="0"/>
          <w:bCs w:val="0"/>
          <w:color w:val="auto"/>
          <w:highlight w:val="none"/>
        </w:rPr>
        <w:t>2021年建成澄海狮头鹅文化展厅</w:t>
      </w:r>
      <w:r>
        <w:rPr>
          <w:rFonts w:hint="default" w:ascii="Times New Roman" w:hAnsi="Times New Roman"/>
          <w:color w:val="auto"/>
          <w:highlight w:val="none"/>
        </w:rPr>
        <w:t>，展馆首创“十分钟了解狮头鹅”的精品馆理念，由狮头鹅的基础知识、潮汕“鹅”文化、潮汕卤水，现代鹅产业以及政府产业支持等五个部分组成，让参观者详细了解澄海狮头鹅的相关信息。建成落地30多亩狮头鹅文化主题公园，让游客更为直观、近距离了解澄海狮头鹅，现场品尝狮头鹅系列产品。澄海区农旅融合程度高，</w:t>
      </w:r>
      <w:r>
        <w:rPr>
          <w:rFonts w:hint="default" w:ascii="Times New Roman" w:hAnsi="Times New Roman"/>
          <w:color w:val="auto"/>
          <w:highlight w:val="none"/>
          <w:lang w:val="en-US" w:eastAsia="zh-CN"/>
        </w:rPr>
        <w:t>2018年12月，住房城乡建设部拟将程洋冈村列入第五批</w:t>
      </w:r>
      <w:r>
        <w:rPr>
          <w:rFonts w:hint="default" w:ascii="Times New Roman" w:hAnsi="Times New Roman"/>
          <w:color w:val="auto"/>
          <w:highlight w:val="none"/>
          <w:lang w:val="en-US" w:eastAsia="zh-CN"/>
        </w:rPr>
        <w:fldChar w:fldCharType="begin"/>
      </w:r>
      <w:r>
        <w:rPr>
          <w:rFonts w:hint="default" w:ascii="Times New Roman" w:hAnsi="Times New Roman"/>
          <w:color w:val="auto"/>
          <w:highlight w:val="none"/>
          <w:lang w:val="en-US" w:eastAsia="zh-CN"/>
        </w:rPr>
        <w:instrText xml:space="preserve"> HYPERLINK "https://baike.so.com/doc/9026311-9356189.html" \t "https://baike.so.com/doc/_blank" </w:instrText>
      </w:r>
      <w:r>
        <w:rPr>
          <w:rFonts w:hint="default" w:ascii="Times New Roman" w:hAnsi="Times New Roman"/>
          <w:color w:val="auto"/>
          <w:highlight w:val="none"/>
          <w:lang w:val="en-US" w:eastAsia="zh-CN"/>
        </w:rPr>
        <w:fldChar w:fldCharType="separate"/>
      </w:r>
      <w:r>
        <w:rPr>
          <w:rFonts w:hint="default" w:ascii="Times New Roman" w:hAnsi="Times New Roman"/>
          <w:color w:val="auto"/>
          <w:highlight w:val="none"/>
          <w:lang w:val="en-US" w:eastAsia="zh-CN"/>
        </w:rPr>
        <w:t>中国传统村落</w:t>
      </w:r>
      <w:r>
        <w:rPr>
          <w:rFonts w:hint="default" w:ascii="Times New Roman" w:hAnsi="Times New Roman"/>
          <w:color w:val="auto"/>
          <w:highlight w:val="none"/>
          <w:lang w:val="en-US" w:eastAsia="zh-CN"/>
        </w:rPr>
        <w:fldChar w:fldCharType="end"/>
      </w:r>
      <w:r>
        <w:rPr>
          <w:rFonts w:hint="default" w:ascii="Times New Roman" w:hAnsi="Times New Roman"/>
          <w:color w:val="auto"/>
          <w:highlight w:val="none"/>
          <w:lang w:val="en-US" w:eastAsia="zh-CN"/>
        </w:rPr>
        <w:t>名录</w:t>
      </w:r>
      <w:r>
        <w:rPr>
          <w:rFonts w:hint="eastAsia" w:ascii="Times New Roman" w:hAnsi="Times New Roman"/>
          <w:color w:val="auto"/>
          <w:highlight w:val="none"/>
          <w:lang w:val="en-US" w:eastAsia="zh-CN"/>
        </w:rPr>
        <w:t>；</w:t>
      </w:r>
      <w:r>
        <w:rPr>
          <w:rFonts w:hint="default" w:ascii="Times New Roman" w:hAnsi="Times New Roman"/>
          <w:color w:val="auto"/>
          <w:highlight w:val="none"/>
          <w:lang w:val="en-US" w:eastAsia="zh-CN"/>
        </w:rPr>
        <w:t>2019年1月，入选第七批中国历史文化名村</w:t>
      </w:r>
      <w:r>
        <w:rPr>
          <w:rFonts w:hint="eastAsia" w:ascii="Times New Roman" w:hAnsi="Times New Roman"/>
          <w:color w:val="auto"/>
          <w:highlight w:val="none"/>
          <w:lang w:val="en-US" w:eastAsia="zh-CN"/>
        </w:rPr>
        <w:t>；</w:t>
      </w:r>
      <w:r>
        <w:rPr>
          <w:rFonts w:hint="default" w:ascii="Times New Roman" w:hAnsi="Times New Roman"/>
          <w:color w:val="auto"/>
          <w:highlight w:val="none"/>
          <w:lang w:val="en-US" w:eastAsia="zh-CN"/>
        </w:rPr>
        <w:t>2019年6月6日，列入第五批中国传统村落名录</w:t>
      </w:r>
      <w:r>
        <w:rPr>
          <w:rFonts w:hint="eastAsia" w:ascii="Times New Roman" w:hAnsi="Times New Roman"/>
          <w:color w:val="auto"/>
          <w:highlight w:val="none"/>
          <w:lang w:val="en-US" w:eastAsia="zh-CN"/>
        </w:rPr>
        <w:t>；</w:t>
      </w:r>
      <w:r>
        <w:rPr>
          <w:rFonts w:hint="default" w:ascii="Times New Roman" w:hAnsi="Times New Roman"/>
          <w:color w:val="auto"/>
          <w:highlight w:val="none"/>
        </w:rPr>
        <w:t>隆都镇前美村被评为“中国最美休闲乡村”“中国历史文化名村”“国家AAAA级旅游景区”</w:t>
      </w:r>
      <w:r>
        <w:rPr>
          <w:rFonts w:hint="eastAsia" w:ascii="Times New Roman" w:hAnsi="Times New Roman"/>
          <w:color w:val="auto"/>
          <w:highlight w:val="none"/>
          <w:lang w:eastAsia="zh-CN"/>
        </w:rPr>
        <w:t>；</w:t>
      </w:r>
      <w:r>
        <w:rPr>
          <w:rFonts w:hint="default" w:ascii="Times New Roman" w:hAnsi="Times New Roman"/>
          <w:color w:val="auto"/>
          <w:highlight w:val="none"/>
          <w:lang w:val="en-US" w:eastAsia="zh-CN"/>
        </w:rPr>
        <w:t>溪南镇西社村</w:t>
      </w:r>
      <w:r>
        <w:rPr>
          <w:rFonts w:hint="eastAsia" w:ascii="Times New Roman" w:hAnsi="Times New Roman"/>
          <w:color w:val="auto"/>
          <w:highlight w:val="none"/>
          <w:lang w:val="en-US" w:eastAsia="zh-CN"/>
        </w:rPr>
        <w:t>被评为</w:t>
      </w:r>
      <w:r>
        <w:rPr>
          <w:rFonts w:hint="default" w:ascii="Times New Roman" w:hAnsi="Times New Roman"/>
          <w:color w:val="auto"/>
          <w:highlight w:val="none"/>
          <w:lang w:val="en-US" w:eastAsia="zh-CN"/>
        </w:rPr>
        <w:t>全国文明村镇</w:t>
      </w:r>
      <w:r>
        <w:rPr>
          <w:rFonts w:hint="eastAsia" w:ascii="Times New Roman" w:hAnsi="Times New Roman"/>
          <w:color w:val="auto"/>
          <w:highlight w:val="none"/>
          <w:lang w:val="en-US" w:eastAsia="zh-CN"/>
        </w:rPr>
        <w:t>，莲下镇建阳村被评为第六届全国文明村。2019—2022年，澄海区丝路寻踪文化游、澄海区红色文化体验游、澄海潮风侨韵乡村休闲游、澄海特色产业体验游共4条乡村旅游线路入选广东省乡村旅游精品线路，其中，澄海丝路寻踪文化游线路成为汕头市唯一一条入选全国300条乡村旅游学习体验线路。</w:t>
      </w:r>
      <w:r>
        <w:rPr>
          <w:rFonts w:hint="default" w:ascii="Times New Roman" w:hAnsi="Times New Roman"/>
          <w:color w:val="auto"/>
          <w:highlight w:val="none"/>
        </w:rPr>
        <w:t>目前全区共有全国乡村旅游重点村1个，省级文化和旅游特色村6个，省级乡村旅游精品线路4条</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省级示范点5个，乡村旅游接待人次达109万人次</w:t>
      </w:r>
      <w:r>
        <w:rPr>
          <w:rFonts w:hint="default" w:ascii="Times New Roman" w:hAnsi="Times New Roman"/>
          <w:color w:val="auto"/>
          <w:highlight w:val="none"/>
        </w:rPr>
        <w:t>。</w:t>
      </w:r>
    </w:p>
    <w:p w14:paraId="70F505E1">
      <w:pPr>
        <w:pStyle w:val="4"/>
        <w:rPr>
          <w:rFonts w:hint="eastAsia" w:ascii="Times New Roman" w:hAnsi="Times New Roman" w:cs="仿宋_GB2312"/>
          <w:b/>
          <w:bCs w:val="0"/>
          <w:color w:val="auto"/>
          <w:szCs w:val="32"/>
          <w:highlight w:val="none"/>
          <w:lang w:val="en-US" w:eastAsia="zh-CN"/>
        </w:rPr>
      </w:pPr>
      <w:bookmarkStart w:id="10" w:name="_Toc14906"/>
      <w:bookmarkStart w:id="11" w:name="_Toc2680"/>
      <w:bookmarkStart w:id="12" w:name="_Toc14365"/>
      <w:bookmarkStart w:id="13" w:name="_Toc12801"/>
      <w:r>
        <w:rPr>
          <w:rFonts w:hint="eastAsia" w:ascii="Times New Roman" w:hAnsi="Times New Roman" w:eastAsia="仿宋_GB2312" w:cs="仿宋_GB2312"/>
          <w:b/>
          <w:bCs w:val="0"/>
          <w:color w:val="auto"/>
          <w:szCs w:val="32"/>
          <w:highlight w:val="none"/>
          <w:lang w:val="en-US" w:eastAsia="zh-CN"/>
        </w:rPr>
        <w:t>4.</w:t>
      </w:r>
      <w:r>
        <w:rPr>
          <w:rFonts w:hint="eastAsia" w:ascii="Times New Roman" w:hAnsi="Times New Roman" w:cs="仿宋_GB2312"/>
          <w:b/>
          <w:bCs w:val="0"/>
          <w:color w:val="auto"/>
          <w:szCs w:val="32"/>
          <w:highlight w:val="none"/>
          <w:lang w:val="en-US" w:eastAsia="zh-CN"/>
        </w:rPr>
        <w:t>科技装备支撑有力</w:t>
      </w:r>
      <w:bookmarkEnd w:id="10"/>
      <w:bookmarkEnd w:id="11"/>
      <w:bookmarkEnd w:id="12"/>
      <w:bookmarkEnd w:id="13"/>
    </w:p>
    <w:p w14:paraId="2D9ED1A6">
      <w:pPr>
        <w:pageBreakBefore w:val="0"/>
        <w:kinsoku/>
        <w:overflowPunct/>
        <w:topLinePunct w:val="0"/>
        <w:autoSpaceDE/>
        <w:autoSpaceDN/>
        <w:bidi w:val="0"/>
        <w:adjustRightInd/>
        <w:snapToGrid/>
        <w:spacing w:line="590" w:lineRule="exact"/>
        <w:rPr>
          <w:rFonts w:hint="default" w:ascii="Times New Roman" w:hAnsi="Times New Roman"/>
          <w:color w:val="auto"/>
          <w:highlight w:val="none"/>
        </w:rPr>
      </w:pPr>
      <w:r>
        <w:rPr>
          <w:rFonts w:hint="default" w:ascii="Times New Roman" w:hAnsi="Times New Roman"/>
          <w:color w:val="auto"/>
          <w:highlight w:val="none"/>
        </w:rPr>
        <w:t>充分利用白沙禽畜原种研究所科研平台优势，支持狮头鹅产业科技创新应用，积极对接水禽产业科研、技术、市场等先进要素，提升各类现代资源要素的集聚水平和配置效率，为狮头鹅产业快速发展不断注入新活力新动力。</w:t>
      </w:r>
    </w:p>
    <w:p w14:paraId="7EE91A7B">
      <w:pPr>
        <w:pageBreakBefore w:val="0"/>
        <w:kinsoku/>
        <w:overflowPunct/>
        <w:topLinePunct w:val="0"/>
        <w:autoSpaceDE/>
        <w:autoSpaceDN/>
        <w:bidi w:val="0"/>
        <w:adjustRightInd/>
        <w:snapToGrid/>
        <w:spacing w:line="590" w:lineRule="exact"/>
        <w:rPr>
          <w:rFonts w:hint="default" w:ascii="Times New Roman" w:hAnsi="Times New Roman"/>
          <w:color w:val="auto"/>
          <w:highlight w:val="none"/>
        </w:rPr>
      </w:pPr>
      <w:r>
        <w:rPr>
          <w:rFonts w:hint="eastAsia" w:ascii="Times New Roman" w:hAnsi="Times New Roman"/>
          <w:b/>
          <w:bCs/>
          <w:color w:val="auto"/>
          <w:highlight w:val="none"/>
          <w:lang w:val="en-US" w:eastAsia="zh-CN"/>
        </w:rPr>
        <w:t>一是</w:t>
      </w:r>
      <w:r>
        <w:rPr>
          <w:rFonts w:hint="default" w:ascii="Times New Roman" w:hAnsi="Times New Roman"/>
          <w:b/>
          <w:bCs/>
          <w:color w:val="auto"/>
          <w:highlight w:val="none"/>
        </w:rPr>
        <w:t>拥有全国首</w:t>
      </w:r>
      <w:r>
        <w:rPr>
          <w:rFonts w:hint="eastAsia" w:ascii="Times New Roman" w:hAnsi="Times New Roman"/>
          <w:b/>
          <w:bCs/>
          <w:color w:val="auto"/>
          <w:highlight w:val="none"/>
          <w:lang w:val="en-US" w:eastAsia="zh-CN"/>
        </w:rPr>
        <w:t>批</w:t>
      </w:r>
      <w:r>
        <w:rPr>
          <w:rFonts w:hint="default" w:ascii="Times New Roman" w:hAnsi="Times New Roman"/>
          <w:b/>
          <w:bCs/>
          <w:color w:val="auto"/>
          <w:highlight w:val="none"/>
        </w:rPr>
        <w:t>国家级畜禽遗传资源保种场—汕头市白沙禽畜原种研究所狮头鹅保种场</w:t>
      </w:r>
      <w:r>
        <w:rPr>
          <w:rFonts w:hint="eastAsia" w:ascii="Times New Roman" w:hAnsi="Times New Roman"/>
          <w:b/>
          <w:bCs/>
          <w:color w:val="auto"/>
          <w:highlight w:val="none"/>
          <w:lang w:eastAsia="zh-CN"/>
        </w:rPr>
        <w:t>。</w:t>
      </w:r>
      <w:r>
        <w:rPr>
          <w:rFonts w:hint="default" w:ascii="Times New Roman" w:hAnsi="Times New Roman"/>
          <w:color w:val="auto"/>
          <w:highlight w:val="none"/>
        </w:rPr>
        <w:t>澄海区狮头鹅产业科技研发水平处于全国前列，汕头市白沙禽畜原种研究所为狮头鹅产业科技创新提供强有力支撑，主要承担国家级狮头鹅品种资源的保护工作，为国家级狮头鹅品种资源保种场、国家水禽产业技术体系汕头综合试验站（广东唯一）、广东省现代农业（狮头鹅）科技创新中心、广东省水禽产业技术体系示范基地、广东省狮头鹅标准化示范区和省市两级农业现代化示范区等的依托单位，在狮头鹅保种、育种方面有60多年的历史经验，技术水平国内外领先。拥有专业技术人员3</w:t>
      </w:r>
      <w:r>
        <w:rPr>
          <w:rFonts w:hint="eastAsia" w:ascii="Times New Roman" w:hAnsi="Times New Roman"/>
          <w:color w:val="auto"/>
          <w:highlight w:val="none"/>
          <w:lang w:val="en-US" w:eastAsia="zh-CN"/>
        </w:rPr>
        <w:t>4</w:t>
      </w:r>
      <w:r>
        <w:rPr>
          <w:rFonts w:hint="default" w:ascii="Times New Roman" w:hAnsi="Times New Roman"/>
          <w:color w:val="auto"/>
          <w:highlight w:val="none"/>
        </w:rPr>
        <w:t>名（其中高级职称11名，中级职称5名，研究生1名），科技人才实力雄厚。全所总面积1020亩，拥有种鹅场、育种鹅场、蛋鸡场、孵化厂、饲料厂、综合实验室等一批家禽科研、生产现代化设施设备。</w:t>
      </w:r>
    </w:p>
    <w:p w14:paraId="52E7C1C3">
      <w:pPr>
        <w:pageBreakBefore w:val="0"/>
        <w:kinsoku/>
        <w:overflowPunct/>
        <w:topLinePunct w:val="0"/>
        <w:autoSpaceDE/>
        <w:autoSpaceDN/>
        <w:bidi w:val="0"/>
        <w:adjustRightInd/>
        <w:snapToGrid/>
        <w:spacing w:line="590" w:lineRule="exact"/>
        <w:rPr>
          <w:rFonts w:hint="default" w:ascii="Times New Roman" w:hAnsi="Times New Roman"/>
          <w:color w:val="auto"/>
          <w:highlight w:val="none"/>
        </w:rPr>
      </w:pPr>
      <w:r>
        <w:rPr>
          <w:rFonts w:hint="default" w:ascii="Times New Roman" w:hAnsi="Times New Roman"/>
          <w:b w:val="0"/>
          <w:bCs/>
          <w:color w:val="auto"/>
          <w:highlight w:val="none"/>
        </w:rPr>
        <w:t>研究所每年承担国家、省、市三级的各类科研课题和农业专项10多项，</w:t>
      </w:r>
      <w:r>
        <w:rPr>
          <w:rFonts w:hint="eastAsia" w:ascii="Times New Roman" w:hAnsi="Times New Roman"/>
          <w:b w:val="0"/>
          <w:bCs/>
          <w:color w:val="auto"/>
          <w:highlight w:val="none"/>
          <w:lang w:val="en-US" w:eastAsia="zh-CN"/>
        </w:rPr>
        <w:t>获得科研成果40多项，先后主持和参与实施的国家、省、市三级科研项目近50项，</w:t>
      </w:r>
      <w:r>
        <w:rPr>
          <w:rFonts w:hint="default" w:ascii="Times New Roman" w:hAnsi="Times New Roman"/>
          <w:b w:val="0"/>
          <w:bCs/>
          <w:color w:val="auto"/>
          <w:highlight w:val="none"/>
        </w:rPr>
        <w:t>制定《狮头鹅（肉用鹅）饲养技术规范》《狮头鹅（种鹅）饲养技术规范》《狮头鹅》《狮头鹅种蛋机电孵化技术规程》4个农业地方标准</w:t>
      </w:r>
      <w:r>
        <w:rPr>
          <w:rFonts w:hint="eastAsia" w:ascii="Times New Roman" w:hAnsi="Times New Roman"/>
          <w:b w:val="0"/>
          <w:bCs/>
          <w:color w:val="auto"/>
          <w:highlight w:val="none"/>
          <w:lang w:eastAsia="zh-CN"/>
        </w:rPr>
        <w:t>，</w:t>
      </w:r>
      <w:r>
        <w:rPr>
          <w:rFonts w:hint="eastAsia" w:ascii="Times New Roman" w:hAnsi="Times New Roman"/>
          <w:b w:val="0"/>
          <w:bCs/>
          <w:color w:val="auto"/>
          <w:highlight w:val="none"/>
          <w:lang w:val="en-US" w:eastAsia="zh-CN"/>
        </w:rPr>
        <w:t>其中《狮头鹅饲养管理技术》自2018年起已连续7年入选广东省农业主推技术，发表论文44篇，获得国家实用新型专利2项。</w:t>
      </w:r>
      <w:r>
        <w:rPr>
          <w:rFonts w:hint="default" w:ascii="Times New Roman" w:hAnsi="Times New Roman"/>
          <w:b w:val="0"/>
          <w:bCs/>
          <w:color w:val="auto"/>
          <w:highlight w:val="none"/>
        </w:rPr>
        <w:t>成功选育“澄海系狮头鹅”，培育出建国后第一个水禽育成品种—白沙鸭，培育了“SB21肉用鹅配套系”“白羽狮头鹅”等新种系已通过成果鉴定，目前正在开展“狮头鹅高产蛋量”和“高生长速度”两个新品系的选育工作。“狮头鹅反季节生产技术”“鹅人工授精技术”等</w:t>
      </w:r>
      <w:r>
        <w:rPr>
          <w:rFonts w:hint="eastAsia" w:ascii="Times New Roman" w:hAnsi="Times New Roman"/>
          <w:b w:val="0"/>
          <w:bCs/>
          <w:color w:val="auto"/>
          <w:highlight w:val="none"/>
          <w:lang w:val="en-US" w:eastAsia="zh-CN"/>
        </w:rPr>
        <w:t>15</w:t>
      </w:r>
      <w:r>
        <w:rPr>
          <w:rFonts w:hint="default" w:ascii="Times New Roman" w:hAnsi="Times New Roman"/>
          <w:b w:val="0"/>
          <w:bCs/>
          <w:color w:val="auto"/>
          <w:highlight w:val="none"/>
        </w:rPr>
        <w:t>个项目获得省、市的科技奖和农技推广奖。注册有“狮头”等商标，连续10多年被评为广东名牌产品。“狮头”牌狮头鹅和狮头鹅饲养管理技术连续</w:t>
      </w:r>
      <w:r>
        <w:rPr>
          <w:rFonts w:hint="eastAsia" w:ascii="Times New Roman" w:hAnsi="Times New Roman"/>
          <w:b w:val="0"/>
          <w:bCs/>
          <w:color w:val="auto"/>
          <w:highlight w:val="none"/>
          <w:lang w:val="en-US" w:eastAsia="zh-CN"/>
        </w:rPr>
        <w:t>7</w:t>
      </w:r>
      <w:r>
        <w:rPr>
          <w:rFonts w:hint="default" w:ascii="Times New Roman" w:hAnsi="Times New Roman"/>
          <w:b w:val="0"/>
          <w:bCs/>
          <w:color w:val="auto"/>
          <w:highlight w:val="none"/>
        </w:rPr>
        <w:t>年获评广东省农业主导品种和主推技术。</w:t>
      </w:r>
      <w:r>
        <w:rPr>
          <w:rFonts w:hint="eastAsia" w:ascii="Times New Roman" w:hAnsi="Times New Roman"/>
          <w:b w:val="0"/>
          <w:bCs/>
          <w:color w:val="auto"/>
          <w:highlight w:val="none"/>
          <w:lang w:val="en-US" w:eastAsia="zh-CN"/>
        </w:rPr>
        <w:t>2023年，与仲恺农业工程学院联合申报国家育种攻关项目“地方特色物种狮头鹅育种联合攻关”项目（财政资金每年300万元，连续3年），</w:t>
      </w:r>
      <w:r>
        <w:rPr>
          <w:rFonts w:hint="default" w:ascii="Times New Roman" w:hAnsi="Times New Roman"/>
          <w:b w:val="0"/>
          <w:bCs/>
          <w:color w:val="auto"/>
          <w:highlight w:val="none"/>
        </w:rPr>
        <w:t>已成为粤东地区唯一的畜禽原种科研所和最大的家禽现代化、标准化生产示范基地，累计向全国推广狮头鹅100万只以上，</w:t>
      </w:r>
      <w:r>
        <w:rPr>
          <w:rFonts w:hint="eastAsia" w:ascii="Times New Roman" w:hAnsi="Times New Roman"/>
          <w:b w:val="0"/>
          <w:bCs/>
          <w:color w:val="auto"/>
          <w:highlight w:val="none"/>
          <w:lang w:val="en-US" w:eastAsia="zh-CN"/>
        </w:rPr>
        <w:t>每</w:t>
      </w:r>
      <w:r>
        <w:rPr>
          <w:rFonts w:hint="default" w:ascii="Times New Roman" w:hAnsi="Times New Roman"/>
          <w:b w:val="0"/>
          <w:bCs/>
          <w:color w:val="auto"/>
          <w:highlight w:val="none"/>
        </w:rPr>
        <w:t>年向社会提供优良种苗500万只以上，禽蛋600吨，年产值1000万元。</w:t>
      </w:r>
    </w:p>
    <w:p w14:paraId="4716584B">
      <w:pPr>
        <w:pageBreakBefore w:val="0"/>
        <w:kinsoku/>
        <w:overflowPunct/>
        <w:topLinePunct w:val="0"/>
        <w:autoSpaceDE/>
        <w:autoSpaceDN/>
        <w:bidi w:val="0"/>
        <w:adjustRightInd/>
        <w:snapToGrid/>
        <w:spacing w:line="590" w:lineRule="exact"/>
        <w:rPr>
          <w:rFonts w:hint="default" w:ascii="Times New Roman" w:hAnsi="Times New Roman"/>
          <w:color w:val="auto"/>
          <w:highlight w:val="none"/>
        </w:rPr>
      </w:pPr>
      <w:bookmarkStart w:id="14" w:name="_Toc17257"/>
      <w:r>
        <w:rPr>
          <w:rFonts w:hint="eastAsia" w:ascii="Times New Roman" w:hAnsi="Times New Roman"/>
          <w:b/>
          <w:bCs/>
          <w:color w:val="auto"/>
          <w:highlight w:val="none"/>
          <w:lang w:val="en-US" w:eastAsia="zh-CN"/>
        </w:rPr>
        <w:t>二是</w:t>
      </w:r>
      <w:r>
        <w:rPr>
          <w:rFonts w:hint="default" w:ascii="Times New Roman" w:hAnsi="Times New Roman"/>
          <w:b/>
          <w:bCs/>
          <w:color w:val="auto"/>
          <w:highlight w:val="none"/>
        </w:rPr>
        <w:t>深化与</w:t>
      </w:r>
      <w:r>
        <w:rPr>
          <w:rFonts w:hint="eastAsia" w:ascii="Times New Roman" w:hAnsi="Times New Roman"/>
          <w:b/>
          <w:bCs/>
          <w:color w:val="auto"/>
          <w:highlight w:val="none"/>
          <w:lang w:val="en-US" w:eastAsia="zh-CN"/>
        </w:rPr>
        <w:t>科研院所</w:t>
      </w:r>
      <w:r>
        <w:rPr>
          <w:rFonts w:hint="default" w:ascii="Times New Roman" w:hAnsi="Times New Roman"/>
          <w:b/>
          <w:bCs/>
          <w:color w:val="auto"/>
          <w:highlight w:val="none"/>
        </w:rPr>
        <w:t>产学研合作</w:t>
      </w:r>
      <w:bookmarkEnd w:id="14"/>
      <w:r>
        <w:rPr>
          <w:rFonts w:hint="eastAsia" w:ascii="Times New Roman" w:hAnsi="Times New Roman"/>
          <w:b/>
          <w:bCs/>
          <w:color w:val="auto"/>
          <w:highlight w:val="none"/>
          <w:lang w:eastAsia="zh-CN"/>
        </w:rPr>
        <w:t>。</w:t>
      </w:r>
      <w:r>
        <w:rPr>
          <w:rFonts w:hint="default" w:ascii="Times New Roman" w:hAnsi="Times New Roman"/>
          <w:color w:val="auto"/>
          <w:highlight w:val="none"/>
        </w:rPr>
        <w:t>深化与科研院所合作，科技集成助力狮头鹅产业转型升级。澄海区人民政府通过与广东省农科院、汕头市白沙禽畜</w:t>
      </w:r>
      <w:r>
        <w:rPr>
          <w:rFonts w:hint="eastAsia" w:ascii="Times New Roman" w:hAnsi="Times New Roman"/>
          <w:color w:val="auto"/>
          <w:highlight w:val="none"/>
          <w:lang w:val="en-US" w:eastAsia="zh-CN"/>
        </w:rPr>
        <w:t>原</w:t>
      </w:r>
      <w:r>
        <w:rPr>
          <w:rFonts w:hint="default" w:ascii="Times New Roman" w:hAnsi="Times New Roman"/>
          <w:color w:val="auto"/>
          <w:highlight w:val="none"/>
        </w:rPr>
        <w:t>种研究所等6家科研院所签订合作协议，重点打破狮头鹅生产关键节点技术瓶颈。广东省狮头鹅品种资源保种场建设项目入选农业部养殖业良种工程第一批储备项目。汕头市白沙禽畜良种研究所</w:t>
      </w:r>
      <w:r>
        <w:rPr>
          <w:rFonts w:hint="eastAsia" w:ascii="Times New Roman" w:hAnsi="Times New Roman"/>
          <w:color w:val="auto"/>
          <w:highlight w:val="none"/>
          <w:lang w:val="en-US" w:eastAsia="zh-CN"/>
        </w:rPr>
        <w:t>与华南农业大学合作，通过单分子测序技术（PacBio）、二代测序技术（Illimina）、光学图谱技术（BioNano），结合组装算法技术混合拼接组装得到了国内外首个狮头鹅基因组图谱序列，</w:t>
      </w:r>
      <w:r>
        <w:rPr>
          <w:rFonts w:hint="default" w:ascii="Times New Roman" w:hAnsi="Times New Roman"/>
          <w:color w:val="auto"/>
          <w:highlight w:val="none"/>
        </w:rPr>
        <w:t>对狮头鹅产业化发展、种质资源保护与育种技术开发具有重要的战略意义，开启了狮头鹅分子育种新征程。通过与广东省农业科学院农业生物基因研究中心联合共建禽类生物基因科研成果示范基地，2021年合作申报项目成果“广东良种鹅鉴评利用及健康养殖技术的应用与推广”获得省级农技推广二等奖。</w:t>
      </w:r>
      <w:r>
        <w:rPr>
          <w:rFonts w:hint="eastAsia" w:ascii="Times New Roman" w:hAnsi="Times New Roman"/>
          <w:color w:val="auto"/>
          <w:highlight w:val="none"/>
          <w:lang w:val="en-US" w:eastAsia="zh-CN"/>
        </w:rPr>
        <w:t>产业园完成科技成果转化6项，研发专利50多项，科研经费投入达2500万元，年均增长8%以上。</w:t>
      </w:r>
    </w:p>
    <w:p w14:paraId="138839C2">
      <w:pPr>
        <w:pageBreakBefore w:val="0"/>
        <w:widowControl/>
        <w:kinsoku/>
        <w:overflowPunct/>
        <w:topLinePunct w:val="0"/>
        <w:autoSpaceDE/>
        <w:autoSpaceDN/>
        <w:bidi w:val="0"/>
        <w:adjustRightInd/>
        <w:snapToGrid/>
        <w:spacing w:line="590" w:lineRule="exact"/>
        <w:ind w:firstLine="0" w:firstLineChars="0"/>
        <w:jc w:val="center"/>
        <w:textAlignment w:val="center"/>
        <w:rPr>
          <w:rFonts w:hint="default" w:ascii="Times New Roman" w:hAnsi="Times New Roman" w:eastAsia="黑体" w:cs="Times New Roman"/>
          <w:b w:val="0"/>
          <w:bCs w:val="0"/>
          <w:color w:val="auto"/>
          <w:kern w:val="0"/>
          <w:sz w:val="28"/>
          <w:szCs w:val="28"/>
          <w:highlight w:val="none"/>
        </w:rPr>
      </w:pPr>
      <w:r>
        <w:rPr>
          <w:rFonts w:hint="default" w:ascii="Times New Roman" w:hAnsi="Times New Roman" w:eastAsia="黑体" w:cs="Times New Roman"/>
          <w:b w:val="0"/>
          <w:bCs w:val="0"/>
          <w:color w:val="auto"/>
          <w:kern w:val="0"/>
          <w:sz w:val="28"/>
          <w:szCs w:val="28"/>
          <w:highlight w:val="none"/>
        </w:rPr>
        <w:t>澄海狮头鹅科技成果一览表</w:t>
      </w:r>
    </w:p>
    <w:tbl>
      <w:tblPr>
        <w:tblStyle w:val="24"/>
        <w:tblW w:w="0" w:type="auto"/>
        <w:tblInd w:w="98" w:type="dxa"/>
        <w:tblLayout w:type="autofit"/>
        <w:tblCellMar>
          <w:top w:w="0" w:type="dxa"/>
          <w:left w:w="10" w:type="dxa"/>
          <w:bottom w:w="0" w:type="dxa"/>
          <w:right w:w="10" w:type="dxa"/>
        </w:tblCellMar>
      </w:tblPr>
      <w:tblGrid>
        <w:gridCol w:w="4296"/>
        <w:gridCol w:w="4128"/>
      </w:tblGrid>
      <w:tr w14:paraId="690B5005">
        <w:tblPrEx>
          <w:tblCellMar>
            <w:top w:w="0" w:type="dxa"/>
            <w:left w:w="10" w:type="dxa"/>
            <w:bottom w:w="0" w:type="dxa"/>
            <w:right w:w="10" w:type="dxa"/>
          </w:tblCellMar>
        </w:tblPrEx>
        <w:trPr>
          <w:trHeight w:val="567" w:hRule="atLeast"/>
        </w:trPr>
        <w:tc>
          <w:tcPr>
            <w:tcW w:w="43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3F74392F">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黑体" w:cs="黑体"/>
                <w:color w:val="auto"/>
                <w:sz w:val="24"/>
                <w:szCs w:val="24"/>
                <w:highlight w:val="none"/>
              </w:rPr>
            </w:pPr>
            <w:r>
              <w:rPr>
                <w:rFonts w:hint="eastAsia" w:ascii="Times New Roman" w:hAnsi="Times New Roman" w:eastAsia="黑体" w:cs="黑体"/>
                <w:b/>
                <w:color w:val="auto"/>
                <w:sz w:val="24"/>
                <w:szCs w:val="24"/>
                <w:highlight w:val="none"/>
              </w:rPr>
              <w:t>成果名称</w:t>
            </w:r>
          </w:p>
        </w:tc>
        <w:tc>
          <w:tcPr>
            <w:tcW w:w="417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3BDBF2E5">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黑体" w:cs="黑体"/>
                <w:color w:val="auto"/>
                <w:sz w:val="24"/>
                <w:szCs w:val="24"/>
                <w:highlight w:val="none"/>
              </w:rPr>
            </w:pPr>
            <w:r>
              <w:rPr>
                <w:rFonts w:hint="eastAsia" w:ascii="Times New Roman" w:hAnsi="Times New Roman" w:eastAsia="黑体" w:cs="黑体"/>
                <w:b/>
                <w:color w:val="auto"/>
                <w:sz w:val="24"/>
                <w:szCs w:val="24"/>
                <w:highlight w:val="none"/>
              </w:rPr>
              <w:t>奖励级别</w:t>
            </w:r>
          </w:p>
        </w:tc>
      </w:tr>
      <w:tr w14:paraId="12501B3E">
        <w:tblPrEx>
          <w:tblCellMar>
            <w:top w:w="0" w:type="dxa"/>
            <w:left w:w="10" w:type="dxa"/>
            <w:bottom w:w="0" w:type="dxa"/>
            <w:right w:w="10" w:type="dxa"/>
          </w:tblCellMar>
        </w:tblPrEx>
        <w:trPr>
          <w:trHeight w:val="567" w:hRule="atLeast"/>
        </w:trPr>
        <w:tc>
          <w:tcPr>
            <w:tcW w:w="43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736CF6A4">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白羽狮头鹅的培育</w:t>
            </w:r>
          </w:p>
        </w:tc>
        <w:tc>
          <w:tcPr>
            <w:tcW w:w="417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16FE2A5B">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汕头市科技进步三等奖</w:t>
            </w:r>
          </w:p>
          <w:p w14:paraId="4E47F10F">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汕头市农业技术推广二等奖</w:t>
            </w:r>
          </w:p>
        </w:tc>
      </w:tr>
      <w:tr w14:paraId="47E982E4">
        <w:tblPrEx>
          <w:tblCellMar>
            <w:top w:w="0" w:type="dxa"/>
            <w:left w:w="10" w:type="dxa"/>
            <w:bottom w:w="0" w:type="dxa"/>
            <w:right w:w="10" w:type="dxa"/>
          </w:tblCellMar>
        </w:tblPrEx>
        <w:trPr>
          <w:trHeight w:val="813" w:hRule="atLeast"/>
        </w:trPr>
        <w:tc>
          <w:tcPr>
            <w:tcW w:w="43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0D199010">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狮头鹅反季节生产技术的研究与应用</w:t>
            </w:r>
          </w:p>
        </w:tc>
        <w:tc>
          <w:tcPr>
            <w:tcW w:w="417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37B83FC4">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汕头市农业技术推广一等奖</w:t>
            </w:r>
          </w:p>
        </w:tc>
      </w:tr>
      <w:tr w14:paraId="40D6D065">
        <w:tblPrEx>
          <w:tblCellMar>
            <w:top w:w="0" w:type="dxa"/>
            <w:left w:w="10" w:type="dxa"/>
            <w:bottom w:w="0" w:type="dxa"/>
            <w:right w:w="10" w:type="dxa"/>
          </w:tblCellMar>
        </w:tblPrEx>
        <w:trPr>
          <w:trHeight w:val="567" w:hRule="atLeast"/>
        </w:trPr>
        <w:tc>
          <w:tcPr>
            <w:tcW w:w="43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4B4FE05A">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狮头鹅高产蛋量新品系L35的示范推广</w:t>
            </w:r>
          </w:p>
        </w:tc>
        <w:tc>
          <w:tcPr>
            <w:tcW w:w="417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6DB36C24">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汕头市农业技术推广二等奖</w:t>
            </w:r>
          </w:p>
        </w:tc>
      </w:tr>
      <w:tr w14:paraId="754FFBBF">
        <w:tblPrEx>
          <w:tblCellMar>
            <w:top w:w="0" w:type="dxa"/>
            <w:left w:w="10" w:type="dxa"/>
            <w:bottom w:w="0" w:type="dxa"/>
            <w:right w:w="10" w:type="dxa"/>
          </w:tblCellMar>
        </w:tblPrEx>
        <w:trPr>
          <w:trHeight w:val="567" w:hRule="atLeast"/>
        </w:trPr>
        <w:tc>
          <w:tcPr>
            <w:tcW w:w="43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3C5EA12A">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“狮头”牌狮头鹅</w:t>
            </w:r>
          </w:p>
        </w:tc>
        <w:tc>
          <w:tcPr>
            <w:tcW w:w="417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393DF10B">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广东省农业主导品种</w:t>
            </w:r>
          </w:p>
          <w:p w14:paraId="03CF2FF3">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广东名鹅</w:t>
            </w:r>
          </w:p>
        </w:tc>
      </w:tr>
      <w:tr w14:paraId="64355405">
        <w:tblPrEx>
          <w:tblCellMar>
            <w:top w:w="0" w:type="dxa"/>
            <w:left w:w="10" w:type="dxa"/>
            <w:bottom w:w="0" w:type="dxa"/>
            <w:right w:w="10" w:type="dxa"/>
          </w:tblCellMar>
        </w:tblPrEx>
        <w:trPr>
          <w:trHeight w:val="567" w:hRule="atLeast"/>
        </w:trPr>
        <w:tc>
          <w:tcPr>
            <w:tcW w:w="43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42EFFE12">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种草养鹅配套技术的示范推广</w:t>
            </w:r>
          </w:p>
        </w:tc>
        <w:tc>
          <w:tcPr>
            <w:tcW w:w="417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751B8B38">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汕头市农业技术推广一等奖</w:t>
            </w:r>
          </w:p>
        </w:tc>
      </w:tr>
      <w:tr w14:paraId="60A95DFC">
        <w:tblPrEx>
          <w:tblCellMar>
            <w:top w:w="0" w:type="dxa"/>
            <w:left w:w="10" w:type="dxa"/>
            <w:bottom w:w="0" w:type="dxa"/>
            <w:right w:w="10" w:type="dxa"/>
          </w:tblCellMar>
        </w:tblPrEx>
        <w:trPr>
          <w:trHeight w:val="343" w:hRule="atLeast"/>
        </w:trPr>
        <w:tc>
          <w:tcPr>
            <w:tcW w:w="43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0D3149E7">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狮头鹅饲养管理技术的示范与推广</w:t>
            </w:r>
          </w:p>
        </w:tc>
        <w:tc>
          <w:tcPr>
            <w:tcW w:w="417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70166755">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汕头市农业技术推广一等奖</w:t>
            </w:r>
          </w:p>
        </w:tc>
      </w:tr>
      <w:tr w14:paraId="25B5F48C">
        <w:tblPrEx>
          <w:tblCellMar>
            <w:top w:w="0" w:type="dxa"/>
            <w:left w:w="10" w:type="dxa"/>
            <w:bottom w:w="0" w:type="dxa"/>
            <w:right w:w="10" w:type="dxa"/>
          </w:tblCellMar>
        </w:tblPrEx>
        <w:trPr>
          <w:trHeight w:val="567" w:hRule="atLeast"/>
        </w:trPr>
        <w:tc>
          <w:tcPr>
            <w:tcW w:w="43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1CA11022">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狮头鹅饲养管理技术</w:t>
            </w:r>
          </w:p>
        </w:tc>
        <w:tc>
          <w:tcPr>
            <w:tcW w:w="417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460B1636">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广东省农业主推技术</w:t>
            </w:r>
          </w:p>
          <w:p w14:paraId="78A0D127">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2019广东省最受欢迎农业主推技术</w:t>
            </w:r>
          </w:p>
        </w:tc>
      </w:tr>
      <w:tr w14:paraId="31CD1449">
        <w:tblPrEx>
          <w:tblCellMar>
            <w:top w:w="0" w:type="dxa"/>
            <w:left w:w="10" w:type="dxa"/>
            <w:bottom w:w="0" w:type="dxa"/>
            <w:right w:w="10" w:type="dxa"/>
          </w:tblCellMar>
        </w:tblPrEx>
        <w:trPr>
          <w:trHeight w:val="567" w:hRule="atLeast"/>
        </w:trPr>
        <w:tc>
          <w:tcPr>
            <w:tcW w:w="43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76F17BAF">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汕头市狮头鹅卤制技术地方标准</w:t>
            </w:r>
          </w:p>
        </w:tc>
        <w:tc>
          <w:tcPr>
            <w:tcW w:w="417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16E0BB7C">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w:t>
            </w:r>
          </w:p>
        </w:tc>
      </w:tr>
      <w:tr w14:paraId="49C822CA">
        <w:tblPrEx>
          <w:tblCellMar>
            <w:top w:w="0" w:type="dxa"/>
            <w:left w:w="10" w:type="dxa"/>
            <w:bottom w:w="0" w:type="dxa"/>
            <w:right w:w="10" w:type="dxa"/>
          </w:tblCellMar>
        </w:tblPrEx>
        <w:trPr>
          <w:trHeight w:val="567" w:hRule="atLeast"/>
        </w:trPr>
        <w:tc>
          <w:tcPr>
            <w:tcW w:w="43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7EE74F78">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澄海系狮头鹅</w:t>
            </w:r>
            <w:r>
              <w:rPr>
                <w:rFonts w:hint="eastAsia" w:ascii="Times New Roman" w:hAnsi="Times New Roman" w:cs="Times New Roman"/>
                <w:color w:val="auto"/>
                <w:sz w:val="24"/>
                <w:szCs w:val="24"/>
                <w:highlight w:val="none"/>
                <w:lang w:eastAsia="zh-CN"/>
              </w:rPr>
              <w:t>的</w:t>
            </w:r>
            <w:r>
              <w:rPr>
                <w:rFonts w:hint="default" w:ascii="Times New Roman" w:hAnsi="Times New Roman" w:eastAsia="仿宋_GB2312" w:cs="Times New Roman"/>
                <w:color w:val="auto"/>
                <w:sz w:val="24"/>
                <w:szCs w:val="24"/>
                <w:highlight w:val="none"/>
              </w:rPr>
              <w:t>培育</w:t>
            </w:r>
          </w:p>
        </w:tc>
        <w:tc>
          <w:tcPr>
            <w:tcW w:w="417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2C69B50F">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国家科技大会奖</w:t>
            </w:r>
          </w:p>
        </w:tc>
      </w:tr>
      <w:tr w14:paraId="3730B4BA">
        <w:tblPrEx>
          <w:tblCellMar>
            <w:top w:w="0" w:type="dxa"/>
            <w:left w:w="10" w:type="dxa"/>
            <w:bottom w:w="0" w:type="dxa"/>
            <w:right w:w="10" w:type="dxa"/>
          </w:tblCellMar>
        </w:tblPrEx>
        <w:trPr>
          <w:trHeight w:val="567" w:hRule="atLeast"/>
        </w:trPr>
        <w:tc>
          <w:tcPr>
            <w:tcW w:w="43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2EB956E8">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澄海系狮头鹅的培育</w:t>
            </w:r>
          </w:p>
        </w:tc>
        <w:tc>
          <w:tcPr>
            <w:tcW w:w="417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62237912">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广东省科学大会成果奖</w:t>
            </w:r>
          </w:p>
        </w:tc>
      </w:tr>
      <w:tr w14:paraId="040BD823">
        <w:tblPrEx>
          <w:tblCellMar>
            <w:top w:w="0" w:type="dxa"/>
            <w:left w:w="10" w:type="dxa"/>
            <w:bottom w:w="0" w:type="dxa"/>
            <w:right w:w="10" w:type="dxa"/>
          </w:tblCellMar>
        </w:tblPrEx>
        <w:trPr>
          <w:trHeight w:val="567" w:hRule="atLeast"/>
        </w:trPr>
        <w:tc>
          <w:tcPr>
            <w:tcW w:w="43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56458AB0">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小鹅瘟疫苗和抗小鹅瘟血清的研制</w:t>
            </w:r>
          </w:p>
        </w:tc>
        <w:tc>
          <w:tcPr>
            <w:tcW w:w="417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2AB1F705">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广东省科学大会成果奖</w:t>
            </w:r>
          </w:p>
        </w:tc>
      </w:tr>
      <w:tr w14:paraId="78C385DF">
        <w:tblPrEx>
          <w:tblCellMar>
            <w:top w:w="0" w:type="dxa"/>
            <w:left w:w="10" w:type="dxa"/>
            <w:bottom w:w="0" w:type="dxa"/>
            <w:right w:w="10" w:type="dxa"/>
          </w:tblCellMar>
        </w:tblPrEx>
        <w:trPr>
          <w:trHeight w:val="567" w:hRule="atLeast"/>
        </w:trPr>
        <w:tc>
          <w:tcPr>
            <w:tcW w:w="43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3F1FD5B8">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草粉配合日粮饲养肉用狮头鹅试验</w:t>
            </w:r>
          </w:p>
        </w:tc>
        <w:tc>
          <w:tcPr>
            <w:tcW w:w="417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0B218184">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广东省饲料工业科学技术进步贡献奖</w:t>
            </w:r>
          </w:p>
        </w:tc>
      </w:tr>
      <w:tr w14:paraId="2F10386D">
        <w:tblPrEx>
          <w:tblCellMar>
            <w:top w:w="0" w:type="dxa"/>
            <w:left w:w="10" w:type="dxa"/>
            <w:bottom w:w="0" w:type="dxa"/>
            <w:right w:w="10" w:type="dxa"/>
          </w:tblCellMar>
        </w:tblPrEx>
        <w:trPr>
          <w:trHeight w:val="1150" w:hRule="atLeast"/>
        </w:trPr>
        <w:tc>
          <w:tcPr>
            <w:tcW w:w="43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4CCA1A6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SB21肉用鹅配套系的培育</w:t>
            </w:r>
          </w:p>
        </w:tc>
        <w:tc>
          <w:tcPr>
            <w:tcW w:w="417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00485E51">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广东省农业技术推广三等奖</w:t>
            </w:r>
          </w:p>
          <w:p w14:paraId="6299B83B">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汕头市科技进步三等奖</w:t>
            </w:r>
          </w:p>
          <w:p w14:paraId="2778CEE0">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汕头市农业技术推广一等奖</w:t>
            </w:r>
          </w:p>
        </w:tc>
      </w:tr>
      <w:tr w14:paraId="7CEE0C21">
        <w:tblPrEx>
          <w:tblCellMar>
            <w:top w:w="0" w:type="dxa"/>
            <w:left w:w="10" w:type="dxa"/>
            <w:bottom w:w="0" w:type="dxa"/>
            <w:right w:w="10" w:type="dxa"/>
          </w:tblCellMar>
        </w:tblPrEx>
        <w:trPr>
          <w:trHeight w:val="567" w:hRule="atLeast"/>
        </w:trPr>
        <w:tc>
          <w:tcPr>
            <w:tcW w:w="43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1AE4676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狮头鹅反季节生产技术研究与应用</w:t>
            </w:r>
          </w:p>
        </w:tc>
        <w:tc>
          <w:tcPr>
            <w:tcW w:w="417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5E6DB44B">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汕头市农业技术推广二等奖</w:t>
            </w:r>
          </w:p>
        </w:tc>
      </w:tr>
      <w:tr w14:paraId="06B302A7">
        <w:tblPrEx>
          <w:tblCellMar>
            <w:top w:w="0" w:type="dxa"/>
            <w:left w:w="10" w:type="dxa"/>
            <w:bottom w:w="0" w:type="dxa"/>
            <w:right w:w="10" w:type="dxa"/>
          </w:tblCellMar>
        </w:tblPrEx>
        <w:trPr>
          <w:trHeight w:val="567" w:hRule="atLeast"/>
        </w:trPr>
        <w:tc>
          <w:tcPr>
            <w:tcW w:w="43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3FD23F83">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狮头鹅种蛋机电孵化技术推广应用</w:t>
            </w:r>
          </w:p>
        </w:tc>
        <w:tc>
          <w:tcPr>
            <w:tcW w:w="417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635C59A4">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汕头市农业技术推广二等奖</w:t>
            </w:r>
          </w:p>
        </w:tc>
      </w:tr>
      <w:tr w14:paraId="24C79DED">
        <w:tblPrEx>
          <w:tblCellMar>
            <w:top w:w="0" w:type="dxa"/>
            <w:left w:w="10" w:type="dxa"/>
            <w:bottom w:w="0" w:type="dxa"/>
            <w:right w:w="10" w:type="dxa"/>
          </w:tblCellMar>
        </w:tblPrEx>
        <w:trPr>
          <w:trHeight w:val="1034" w:hRule="atLeast"/>
        </w:trPr>
        <w:tc>
          <w:tcPr>
            <w:tcW w:w="43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6CC7D498">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狮头鹅人工授精技术研究</w:t>
            </w:r>
          </w:p>
        </w:tc>
        <w:tc>
          <w:tcPr>
            <w:tcW w:w="417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453F3B0F">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汕头市科技进步三等奖</w:t>
            </w:r>
          </w:p>
          <w:p w14:paraId="656996A6">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汕头市农业技术推广一等奖</w:t>
            </w:r>
          </w:p>
          <w:p w14:paraId="603B831C">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广东省农业技术推广三等奖</w:t>
            </w:r>
          </w:p>
        </w:tc>
      </w:tr>
    </w:tbl>
    <w:p w14:paraId="7F42A5A4">
      <w:pPr>
        <w:pageBreakBefore w:val="0"/>
        <w:widowControl w:val="0"/>
        <w:kinsoku/>
        <w:overflowPunct/>
        <w:topLinePunct w:val="0"/>
        <w:autoSpaceDE/>
        <w:autoSpaceDN/>
        <w:bidi w:val="0"/>
        <w:adjustRightInd/>
        <w:snapToGrid/>
        <w:spacing w:after="120" w:line="590" w:lineRule="exact"/>
        <w:jc w:val="both"/>
        <w:rPr>
          <w:rFonts w:hint="default" w:ascii="Times New Roman" w:hAnsi="Times New Roman" w:eastAsiaTheme="minorEastAsia" w:cstheme="minorBidi"/>
          <w:color w:val="auto"/>
          <w:kern w:val="2"/>
          <w:sz w:val="32"/>
          <w:szCs w:val="22"/>
          <w:highlight w:val="none"/>
          <w:lang w:val="en-US" w:eastAsia="zh-CN" w:bidi="ar-SA"/>
        </w:rPr>
      </w:pPr>
    </w:p>
    <w:p w14:paraId="11338F56">
      <w:pPr>
        <w:pageBreakBefore w:val="0"/>
        <w:kinsoku/>
        <w:overflowPunct/>
        <w:topLinePunct w:val="0"/>
        <w:autoSpaceDE/>
        <w:autoSpaceDN/>
        <w:bidi w:val="0"/>
        <w:adjustRightInd/>
        <w:snapToGrid/>
        <w:spacing w:line="590" w:lineRule="exact"/>
        <w:rPr>
          <w:rFonts w:hint="eastAsia" w:ascii="Times New Roman" w:hAnsi="Times New Roman"/>
          <w:color w:val="auto"/>
          <w:highlight w:val="none"/>
          <w:lang w:val="en-US" w:eastAsia="zh-CN"/>
        </w:rPr>
      </w:pPr>
      <w:bookmarkStart w:id="15" w:name="_Toc880"/>
      <w:r>
        <w:rPr>
          <w:rFonts w:hint="eastAsia" w:ascii="Times New Roman" w:hAnsi="Times New Roman"/>
          <w:b/>
          <w:bCs/>
          <w:color w:val="auto"/>
          <w:highlight w:val="none"/>
          <w:lang w:val="en-US" w:eastAsia="zh-CN"/>
        </w:rPr>
        <w:t>三是</w:t>
      </w:r>
      <w:r>
        <w:rPr>
          <w:rFonts w:hint="default" w:ascii="Times New Roman" w:hAnsi="Times New Roman"/>
          <w:b/>
          <w:bCs/>
          <w:color w:val="auto"/>
          <w:highlight w:val="none"/>
          <w:lang w:val="en-US" w:eastAsia="zh-CN"/>
        </w:rPr>
        <w:t>加快人才队伍建设</w:t>
      </w:r>
      <w:bookmarkEnd w:id="15"/>
      <w:r>
        <w:rPr>
          <w:rFonts w:hint="eastAsia" w:ascii="Times New Roman" w:hAnsi="Times New Roman"/>
          <w:b/>
          <w:bCs/>
          <w:color w:val="auto"/>
          <w:highlight w:val="none"/>
          <w:lang w:val="en-US" w:eastAsia="zh-CN"/>
        </w:rPr>
        <w:t>。</w:t>
      </w:r>
      <w:r>
        <w:rPr>
          <w:rFonts w:hint="eastAsia" w:ascii="Times New Roman" w:hAnsi="Times New Roman"/>
          <w:color w:val="auto"/>
          <w:highlight w:val="none"/>
          <w:lang w:val="en-US" w:eastAsia="zh-CN"/>
        </w:rPr>
        <w:t>全面构建“专家团队+农技人员+科技示范户”推广服务体系，近6年来，</w:t>
      </w:r>
      <w:r>
        <w:rPr>
          <w:rFonts w:hint="default" w:ascii="Times New Roman" w:hAnsi="Times New Roman"/>
          <w:color w:val="auto"/>
          <w:highlight w:val="none"/>
        </w:rPr>
        <w:t>汕头市白沙禽畜</w:t>
      </w:r>
      <w:r>
        <w:rPr>
          <w:rFonts w:hint="eastAsia" w:ascii="Times New Roman" w:hAnsi="Times New Roman"/>
          <w:color w:val="auto"/>
          <w:highlight w:val="none"/>
          <w:lang w:val="en-US" w:eastAsia="zh-CN"/>
        </w:rPr>
        <w:t>原</w:t>
      </w:r>
      <w:r>
        <w:rPr>
          <w:rFonts w:hint="default" w:ascii="Times New Roman" w:hAnsi="Times New Roman"/>
          <w:color w:val="auto"/>
          <w:highlight w:val="none"/>
        </w:rPr>
        <w:t>种研究所</w:t>
      </w:r>
      <w:r>
        <w:rPr>
          <w:rFonts w:hint="eastAsia" w:ascii="Times New Roman" w:hAnsi="Times New Roman"/>
          <w:color w:val="auto"/>
          <w:highlight w:val="none"/>
          <w:lang w:val="en-US" w:eastAsia="zh-CN"/>
        </w:rPr>
        <w:t>通过科技下乡、举办培训班、现场指导等方式累计发放狮头鹅养殖资料6000份，指导和培训农民2500人次。推动实施农村科技特派员行动计划，2021年以来，备案登记入库市级农村科技特派员总数达751人，累计选派市级农村科技特派员228人，组成18支驻镇帮镇扶村农村科技特派员团队对接帮扶29个村，为镇村产业兴旺提供技术支撑。</w:t>
      </w:r>
    </w:p>
    <w:p w14:paraId="4901D5FB">
      <w:pPr>
        <w:pageBreakBefore w:val="0"/>
        <w:kinsoku/>
        <w:overflowPunct/>
        <w:topLinePunct w:val="0"/>
        <w:autoSpaceDE/>
        <w:autoSpaceDN/>
        <w:bidi w:val="0"/>
        <w:adjustRightInd/>
        <w:snapToGrid/>
        <w:spacing w:line="590" w:lineRule="exact"/>
        <w:rPr>
          <w:rFonts w:hint="default" w:ascii="Times New Roman" w:hAnsi="Times New Roman"/>
          <w:color w:val="auto"/>
          <w:highlight w:val="none"/>
        </w:rPr>
      </w:pPr>
      <w:bookmarkStart w:id="16" w:name="_Toc20666"/>
      <w:r>
        <w:rPr>
          <w:rFonts w:hint="eastAsia" w:ascii="Times New Roman" w:hAnsi="Times New Roman"/>
          <w:b/>
          <w:bCs/>
          <w:color w:val="auto"/>
          <w:highlight w:val="none"/>
          <w:lang w:val="en-US" w:eastAsia="zh-CN"/>
        </w:rPr>
        <w:t>四是</w:t>
      </w:r>
      <w:r>
        <w:rPr>
          <w:rFonts w:hint="default" w:ascii="Times New Roman" w:hAnsi="Times New Roman"/>
          <w:b/>
          <w:bCs/>
          <w:color w:val="auto"/>
          <w:highlight w:val="none"/>
          <w:lang w:val="en-US" w:eastAsia="zh-CN"/>
        </w:rPr>
        <w:t>成功构建狮头鹅疫情防控体系</w:t>
      </w:r>
      <w:bookmarkEnd w:id="16"/>
      <w:r>
        <w:rPr>
          <w:rFonts w:hint="eastAsia" w:ascii="Times New Roman" w:hAnsi="Times New Roman"/>
          <w:b/>
          <w:bCs/>
          <w:color w:val="auto"/>
          <w:highlight w:val="none"/>
          <w:lang w:val="en-US" w:eastAsia="zh-CN"/>
        </w:rPr>
        <w:t>。</w:t>
      </w:r>
      <w:r>
        <w:rPr>
          <w:rFonts w:hint="default" w:ascii="Times New Roman" w:hAnsi="Times New Roman"/>
          <w:color w:val="auto"/>
          <w:highlight w:val="none"/>
        </w:rPr>
        <w:t>狮头鹅抗病能力较强，但随着对外交流的频繁，新</w:t>
      </w:r>
      <w:r>
        <w:rPr>
          <w:rFonts w:hint="eastAsia" w:ascii="Times New Roman" w:hAnsi="Times New Roman"/>
          <w:color w:val="auto"/>
          <w:highlight w:val="none"/>
          <w:lang w:eastAsia="zh-CN"/>
        </w:rPr>
        <w:t>疫病发生概率</w:t>
      </w:r>
      <w:r>
        <w:rPr>
          <w:rFonts w:hint="default" w:ascii="Times New Roman" w:hAnsi="Times New Roman"/>
          <w:color w:val="auto"/>
          <w:highlight w:val="none"/>
        </w:rPr>
        <w:t>更大。加强疫病防治的研究工作，为养鹅业产业化经营保驾护航，是养鹅业科研工作的一个重要组成部分。澄海区狮头鹅疫情防控体系完善，设立了乡镇防检疫区域性中心站，选聘村级防疫员202名，完成了乡镇兽医站的基础设施建设任务及疫病防控预警体系，随时掌握疫病的流行动态，及时研究防治对策，制定适合各时期的防疫程序，真正实现了“有机构管事，有人员办事”的良好局面，促进养鹅业的健康发展。</w:t>
      </w:r>
    </w:p>
    <w:p w14:paraId="622D81DE">
      <w:pPr>
        <w:pStyle w:val="4"/>
        <w:rPr>
          <w:rFonts w:hint="eastAsia" w:ascii="Times New Roman" w:hAnsi="Times New Roman" w:cs="仿宋_GB2312"/>
          <w:b/>
          <w:bCs w:val="0"/>
          <w:color w:val="auto"/>
          <w:szCs w:val="32"/>
          <w:highlight w:val="none"/>
          <w:lang w:val="en-US" w:eastAsia="zh-CN"/>
        </w:rPr>
      </w:pPr>
      <w:bookmarkStart w:id="17" w:name="_Toc20057"/>
      <w:bookmarkStart w:id="18" w:name="_Toc24449"/>
      <w:bookmarkStart w:id="19" w:name="_Toc31514"/>
      <w:bookmarkStart w:id="20" w:name="_Toc5869"/>
      <w:r>
        <w:rPr>
          <w:rFonts w:hint="eastAsia" w:ascii="Times New Roman" w:hAnsi="Times New Roman" w:eastAsia="仿宋_GB2312" w:cs="仿宋_GB2312"/>
          <w:b/>
          <w:bCs w:val="0"/>
          <w:color w:val="auto"/>
          <w:szCs w:val="32"/>
          <w:highlight w:val="none"/>
          <w:lang w:val="en-US" w:eastAsia="zh-CN"/>
        </w:rPr>
        <w:t>5.</w:t>
      </w:r>
      <w:r>
        <w:rPr>
          <w:rFonts w:hint="eastAsia" w:ascii="Times New Roman" w:hAnsi="Times New Roman" w:cs="仿宋_GB2312"/>
          <w:b/>
          <w:bCs w:val="0"/>
          <w:color w:val="auto"/>
          <w:szCs w:val="32"/>
          <w:highlight w:val="none"/>
          <w:lang w:val="en-US" w:eastAsia="zh-CN"/>
        </w:rPr>
        <w:t>绿色农业全面发展</w:t>
      </w:r>
      <w:bookmarkEnd w:id="17"/>
      <w:bookmarkEnd w:id="18"/>
      <w:bookmarkEnd w:id="19"/>
      <w:bookmarkEnd w:id="20"/>
    </w:p>
    <w:p w14:paraId="45472C23">
      <w:pPr>
        <w:pageBreakBefore w:val="0"/>
        <w:kinsoku/>
        <w:overflowPunct/>
        <w:topLinePunct w:val="0"/>
        <w:autoSpaceDE/>
        <w:autoSpaceDN/>
        <w:bidi w:val="0"/>
        <w:adjustRightInd/>
        <w:snapToGrid/>
        <w:spacing w:line="590" w:lineRule="exact"/>
        <w:rPr>
          <w:rFonts w:hint="default" w:ascii="Times New Roman" w:hAnsi="Times New Roman"/>
          <w:b w:val="0"/>
          <w:bCs w:val="0"/>
          <w:color w:val="auto"/>
          <w:highlight w:val="none"/>
        </w:rPr>
      </w:pPr>
      <w:bookmarkStart w:id="21" w:name="_Toc30609"/>
      <w:r>
        <w:rPr>
          <w:rFonts w:hint="eastAsia" w:ascii="Times New Roman" w:hAnsi="Times New Roman"/>
          <w:b/>
          <w:bCs/>
          <w:color w:val="auto"/>
          <w:highlight w:val="none"/>
          <w:lang w:val="en-US" w:eastAsia="zh-CN"/>
        </w:rPr>
        <w:t>一是</w:t>
      </w:r>
      <w:r>
        <w:rPr>
          <w:rFonts w:hint="default" w:ascii="Times New Roman" w:hAnsi="Times New Roman"/>
          <w:b/>
          <w:bCs/>
          <w:color w:val="auto"/>
          <w:highlight w:val="none"/>
        </w:rPr>
        <w:t>饲草养殖实现狮头鹅产业可持续发展</w:t>
      </w:r>
      <w:bookmarkEnd w:id="21"/>
      <w:r>
        <w:rPr>
          <w:rFonts w:hint="eastAsia" w:ascii="Times New Roman" w:hAnsi="Times New Roman"/>
          <w:b/>
          <w:bCs/>
          <w:color w:val="auto"/>
          <w:highlight w:val="none"/>
          <w:lang w:eastAsia="zh-CN"/>
        </w:rPr>
        <w:t>。</w:t>
      </w:r>
      <w:r>
        <w:rPr>
          <w:rFonts w:hint="default" w:ascii="Times New Roman" w:hAnsi="Times New Roman"/>
          <w:color w:val="auto"/>
          <w:highlight w:val="none"/>
        </w:rPr>
        <w:t>狮头鹅以食草为主的水禽，酷爱饲草如象草、多花生黑麦草（亩产13000</w:t>
      </w:r>
      <w:r>
        <w:rPr>
          <w:rFonts w:hint="eastAsia" w:ascii="Times New Roman" w:hAnsi="Times New Roman"/>
          <w:color w:val="auto"/>
          <w:highlight w:val="none"/>
          <w:lang w:eastAsia="zh-CN"/>
        </w:rPr>
        <w:t>—</w:t>
      </w:r>
      <w:r>
        <w:rPr>
          <w:rFonts w:hint="default" w:ascii="Times New Roman" w:hAnsi="Times New Roman"/>
          <w:color w:val="auto"/>
          <w:highlight w:val="none"/>
        </w:rPr>
        <w:t>15000斤）等。澄海区一直以来都有种草养鹅的传统，且澄海气候适宜，适合牧草生长，拥有5个能全年种植用于养鹅的牧草品种。牧草具有易消化、易获得、营养价值高等特点，饲草的经济性、高价值，</w:t>
      </w:r>
      <w:r>
        <w:rPr>
          <w:rFonts w:hint="default" w:ascii="Times New Roman" w:hAnsi="Times New Roman"/>
          <w:b w:val="0"/>
          <w:bCs w:val="0"/>
          <w:color w:val="auto"/>
          <w:highlight w:val="none"/>
        </w:rPr>
        <w:t>可节省40%的饲料</w:t>
      </w:r>
      <w:r>
        <w:rPr>
          <w:rFonts w:hint="default" w:ascii="Times New Roman" w:hAnsi="Times New Roman"/>
          <w:color w:val="auto"/>
          <w:highlight w:val="none"/>
        </w:rPr>
        <w:t>，降低饲养成本，更加保障了狮头鹅产品质量安全性，使得狮头鹅比其他肉质更鲜美，经济效益更高。同时狮头鹅不与人争粮、投入少、回报快、产品用途广、饲养效益高的特点为狮头鹅产业可持续、高质量发展带来巨大机遇</w:t>
      </w:r>
      <w:r>
        <w:rPr>
          <w:rFonts w:hint="default" w:ascii="Times New Roman" w:hAnsi="Times New Roman"/>
          <w:b w:val="0"/>
          <w:bCs w:val="0"/>
          <w:color w:val="auto"/>
          <w:highlight w:val="none"/>
        </w:rPr>
        <w:t>。农业部扶持发展全国草食畜牧业发展，澄海狮头鹅成为广东省扶持发展产业</w:t>
      </w:r>
      <w:r>
        <w:rPr>
          <w:rFonts w:hint="eastAsia" w:ascii="Times New Roman" w:hAnsi="Times New Roman"/>
          <w:b w:val="0"/>
          <w:bCs w:val="0"/>
          <w:color w:val="auto"/>
          <w:highlight w:val="none"/>
          <w:lang w:val="en-US" w:eastAsia="zh-CN"/>
        </w:rPr>
        <w:t>之一</w:t>
      </w:r>
      <w:r>
        <w:rPr>
          <w:rFonts w:hint="default" w:ascii="Times New Roman" w:hAnsi="Times New Roman"/>
          <w:b w:val="0"/>
          <w:bCs w:val="0"/>
          <w:color w:val="auto"/>
          <w:highlight w:val="none"/>
        </w:rPr>
        <w:t>。</w:t>
      </w:r>
    </w:p>
    <w:p w14:paraId="46A4A92D">
      <w:pPr>
        <w:pageBreakBefore w:val="0"/>
        <w:kinsoku/>
        <w:overflowPunct/>
        <w:topLinePunct w:val="0"/>
        <w:autoSpaceDE/>
        <w:autoSpaceDN/>
        <w:bidi w:val="0"/>
        <w:adjustRightInd/>
        <w:snapToGrid/>
        <w:spacing w:line="590" w:lineRule="exact"/>
        <w:rPr>
          <w:rFonts w:hint="default" w:ascii="Times New Roman" w:hAnsi="Times New Roman"/>
          <w:color w:val="auto"/>
          <w:highlight w:val="none"/>
        </w:rPr>
      </w:pPr>
      <w:bookmarkStart w:id="22" w:name="_Toc17307"/>
      <w:r>
        <w:rPr>
          <w:rFonts w:hint="eastAsia" w:ascii="Times New Roman" w:hAnsi="Times New Roman"/>
          <w:b/>
          <w:bCs/>
          <w:color w:val="auto"/>
          <w:highlight w:val="none"/>
          <w:lang w:val="en-US" w:eastAsia="zh-CN"/>
        </w:rPr>
        <w:t>二是</w:t>
      </w:r>
      <w:r>
        <w:rPr>
          <w:rFonts w:hint="default" w:ascii="Times New Roman" w:hAnsi="Times New Roman"/>
          <w:b/>
          <w:bCs/>
          <w:color w:val="auto"/>
          <w:highlight w:val="none"/>
        </w:rPr>
        <w:t>种鹅场与规模化养殖基地全面普及了绿色生产方式</w:t>
      </w:r>
      <w:bookmarkEnd w:id="22"/>
      <w:r>
        <w:rPr>
          <w:rFonts w:hint="eastAsia" w:ascii="Times New Roman" w:hAnsi="Times New Roman"/>
          <w:b/>
          <w:bCs/>
          <w:color w:val="auto"/>
          <w:highlight w:val="none"/>
          <w:lang w:eastAsia="zh-CN"/>
        </w:rPr>
        <w:t>。</w:t>
      </w:r>
      <w:r>
        <w:rPr>
          <w:rFonts w:hint="default" w:ascii="Times New Roman" w:hAnsi="Times New Roman"/>
          <w:color w:val="auto"/>
          <w:highlight w:val="none"/>
        </w:rPr>
        <w:t>澄海区积极推进禁养区和非禁养区划定，</w:t>
      </w:r>
      <w:r>
        <w:rPr>
          <w:rFonts w:hint="default" w:ascii="Times New Roman" w:hAnsi="Times New Roman"/>
          <w:color w:val="auto"/>
          <w:highlight w:val="none"/>
          <w:lang w:val="en-US" w:eastAsia="zh-CN"/>
        </w:rPr>
        <w:t>2</w:t>
      </w:r>
      <w:r>
        <w:rPr>
          <w:rFonts w:hint="default" w:ascii="Times New Roman" w:hAnsi="Times New Roman"/>
          <w:color w:val="auto"/>
          <w:highlight w:val="none"/>
        </w:rPr>
        <w:t>017年制定《汕头市澄海区畜禽养殖禁养区区划方案》，推进狮头鹅绿色生态养殖标准，积极探索狮头鹅旱养模式、小水体养殖等技术推广，成功构建狮头鹅生态立体循环养殖模式，采用“鹅—鹅粪—牧草—鹅—鱼”种养结合，基围种植牧草，鹅粪作为牧草肥料，牧草直接养鹅和鱼，</w:t>
      </w:r>
      <w:r>
        <w:rPr>
          <w:rFonts w:hint="eastAsia" w:ascii="Times New Roman" w:hAnsi="Times New Roman"/>
          <w:color w:val="auto"/>
          <w:highlight w:val="none"/>
          <w:lang w:val="en-US" w:eastAsia="zh-CN"/>
        </w:rPr>
        <w:t>配套动物无害化处理湿化机，</w:t>
      </w:r>
      <w:r>
        <w:rPr>
          <w:rFonts w:hint="default" w:ascii="Times New Roman" w:hAnsi="Times New Roman"/>
          <w:color w:val="auto"/>
          <w:highlight w:val="none"/>
        </w:rPr>
        <w:t>整合成一个生态微循环系统。同时利用生物发酵技术处理病死鹅只、粪便发酵直接还田及科学喂养降低氮和磷等污染排泄等方式实现狮头鹅养殖零排放、零污染。</w:t>
      </w:r>
      <w:r>
        <w:rPr>
          <w:rFonts w:hint="eastAsia" w:ascii="Times New Roman" w:hAnsi="Times New Roman"/>
          <w:color w:val="auto"/>
          <w:highlight w:val="none"/>
          <w:lang w:val="en-US" w:eastAsia="zh-CN"/>
        </w:rPr>
        <w:t>通过与第三方公司合作开发狮头鹅加工废弃物饲料化及肥料化加工生产线，投资建设年处理10万吨畜禽粪便、秸秆等农业废弃物生产生物有机肥生产车间。</w:t>
      </w:r>
      <w:r>
        <w:rPr>
          <w:rFonts w:hint="default" w:ascii="Times New Roman" w:hAnsi="Times New Roman"/>
          <w:color w:val="auto"/>
          <w:highlight w:val="none"/>
        </w:rPr>
        <w:t>202</w:t>
      </w:r>
      <w:r>
        <w:rPr>
          <w:rFonts w:hint="eastAsia" w:ascii="Times New Roman" w:hAnsi="Times New Roman"/>
          <w:color w:val="auto"/>
          <w:highlight w:val="none"/>
          <w:lang w:val="en-US" w:eastAsia="zh-CN"/>
        </w:rPr>
        <w:t>3</w:t>
      </w:r>
      <w:r>
        <w:rPr>
          <w:rFonts w:hint="default" w:ascii="Times New Roman" w:hAnsi="Times New Roman"/>
          <w:color w:val="auto"/>
          <w:highlight w:val="none"/>
        </w:rPr>
        <w:t>年，畜禽粪便（或秸秆）综合处理率达</w:t>
      </w:r>
      <w:r>
        <w:rPr>
          <w:rFonts w:hint="eastAsia" w:ascii="Times New Roman" w:hAnsi="Times New Roman"/>
          <w:color w:val="auto"/>
          <w:highlight w:val="none"/>
          <w:lang w:val="en-US" w:eastAsia="zh-CN"/>
        </w:rPr>
        <w:t>90.76</w:t>
      </w:r>
      <w:r>
        <w:rPr>
          <w:rFonts w:hint="default" w:ascii="Times New Roman" w:hAnsi="Times New Roman"/>
          <w:color w:val="auto"/>
          <w:highlight w:val="none"/>
        </w:rPr>
        <w:t>%。</w:t>
      </w:r>
    </w:p>
    <w:p w14:paraId="7F960570">
      <w:pPr>
        <w:pageBreakBefore w:val="0"/>
        <w:kinsoku/>
        <w:overflowPunct/>
        <w:topLinePunct w:val="0"/>
        <w:autoSpaceDE/>
        <w:autoSpaceDN/>
        <w:bidi w:val="0"/>
        <w:adjustRightInd/>
        <w:snapToGrid/>
        <w:spacing w:line="590" w:lineRule="exact"/>
        <w:rPr>
          <w:rFonts w:hint="default" w:ascii="Times New Roman" w:hAnsi="Times New Roman"/>
          <w:color w:val="auto"/>
          <w:highlight w:val="none"/>
        </w:rPr>
      </w:pPr>
      <w:bookmarkStart w:id="23" w:name="_Toc16011"/>
      <w:r>
        <w:rPr>
          <w:rFonts w:hint="eastAsia" w:ascii="Times New Roman" w:hAnsi="Times New Roman"/>
          <w:b/>
          <w:bCs/>
          <w:color w:val="auto"/>
          <w:highlight w:val="none"/>
          <w:lang w:val="en-US" w:eastAsia="zh-CN"/>
        </w:rPr>
        <w:t>三是</w:t>
      </w:r>
      <w:r>
        <w:rPr>
          <w:rFonts w:hint="default" w:ascii="Times New Roman" w:hAnsi="Times New Roman"/>
          <w:b/>
          <w:bCs/>
          <w:color w:val="auto"/>
          <w:highlight w:val="none"/>
        </w:rPr>
        <w:t>建立高标准全程质量安全监管体系</w:t>
      </w:r>
      <w:bookmarkEnd w:id="23"/>
      <w:r>
        <w:rPr>
          <w:rFonts w:hint="eastAsia" w:ascii="Times New Roman" w:hAnsi="Times New Roman"/>
          <w:b/>
          <w:bCs/>
          <w:color w:val="auto"/>
          <w:highlight w:val="none"/>
          <w:lang w:eastAsia="zh-CN"/>
        </w:rPr>
        <w:t>。</w:t>
      </w:r>
      <w:r>
        <w:rPr>
          <w:rFonts w:hint="default" w:ascii="Times New Roman" w:hAnsi="Times New Roman"/>
          <w:color w:val="auto"/>
          <w:highlight w:val="none"/>
        </w:rPr>
        <w:t>为进一步完善农产品质量安全监管制度，压实生产主体责任，</w:t>
      </w:r>
      <w:r>
        <w:rPr>
          <w:rFonts w:hint="default" w:ascii="Times New Roman" w:hAnsi="Times New Roman"/>
          <w:b w:val="0"/>
          <w:bCs w:val="0"/>
          <w:color w:val="auto"/>
          <w:highlight w:val="none"/>
        </w:rPr>
        <w:t>产业园全面推行承诺达标合格证制度，农产品溯源体系全覆盖，“二品一标”产品已100%纳入国家追溯平台实施追溯管理。202</w:t>
      </w:r>
      <w:r>
        <w:rPr>
          <w:rFonts w:hint="eastAsia" w:ascii="Times New Roman" w:hAnsi="Times New Roman"/>
          <w:b w:val="0"/>
          <w:bCs w:val="0"/>
          <w:color w:val="auto"/>
          <w:highlight w:val="none"/>
          <w:lang w:val="en-US" w:eastAsia="zh-CN"/>
        </w:rPr>
        <w:t>3</w:t>
      </w:r>
      <w:r>
        <w:rPr>
          <w:rFonts w:hint="default" w:ascii="Times New Roman" w:hAnsi="Times New Roman"/>
          <w:b w:val="0"/>
          <w:bCs w:val="0"/>
          <w:color w:val="auto"/>
          <w:highlight w:val="none"/>
        </w:rPr>
        <w:t>年度全区共抽检畜禽产品（鸡蛋、鸡肉、鹅肉、鸭蛋、鸭肉）320批次，检测合格率100%</w:t>
      </w:r>
      <w:r>
        <w:rPr>
          <w:rFonts w:hint="eastAsia" w:ascii="Times New Roman" w:hAnsi="Times New Roman"/>
          <w:b w:val="0"/>
          <w:bCs w:val="0"/>
          <w:color w:val="auto"/>
          <w:highlight w:val="none"/>
          <w:lang w:eastAsia="zh-CN"/>
        </w:rPr>
        <w:t>，</w:t>
      </w:r>
      <w:r>
        <w:rPr>
          <w:rFonts w:hint="default" w:ascii="Times New Roman" w:hAnsi="Times New Roman"/>
          <w:b w:val="0"/>
          <w:bCs w:val="0"/>
          <w:color w:val="auto"/>
          <w:highlight w:val="none"/>
        </w:rPr>
        <w:t>澄海狮头鹅正在积极申报国家农产品地理标志</w:t>
      </w:r>
      <w:r>
        <w:rPr>
          <w:rFonts w:hint="default" w:ascii="Times New Roman" w:hAnsi="Times New Roman"/>
          <w:color w:val="auto"/>
          <w:highlight w:val="none"/>
        </w:rPr>
        <w:t>。同时，为了保证狮头鹅产品质量安全，产业园内经营主体采用一体化生产经营模式，统一种源、统一饲料供应、统一养殖标准等，为保证质量安全打下坚实的管理基础</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在制定屠宰、卤制标准的基础上，参与《预制菜 潮汕卤鹅》团体标准、《狮头鹅屠宰操作规范》汕头市地方标准</w:t>
      </w:r>
      <w:r>
        <w:rPr>
          <w:rFonts w:hint="default" w:ascii="Times New Roman" w:hAnsi="Times New Roman"/>
          <w:color w:val="auto"/>
          <w:highlight w:val="none"/>
        </w:rPr>
        <w:t>。同时，采用科学的生产过程控制标准，建立和完善药品质量安全保障管理体系，制定系列企业质量安全管理制度，</w:t>
      </w:r>
      <w:r>
        <w:rPr>
          <w:rFonts w:hint="default" w:ascii="Times New Roman" w:hAnsi="Times New Roman"/>
          <w:b w:val="0"/>
          <w:bCs w:val="0"/>
          <w:color w:val="auto"/>
          <w:highlight w:val="none"/>
        </w:rPr>
        <w:t>并建立ISO22000、HACCP、GMP、GAP等质量管理体系，</w:t>
      </w:r>
      <w:r>
        <w:rPr>
          <w:rFonts w:hint="default" w:ascii="Times New Roman" w:hAnsi="Times New Roman"/>
          <w:color w:val="auto"/>
          <w:highlight w:val="none"/>
        </w:rPr>
        <w:t>建立生产过程各种原料、药物、添加剂等监测方法，研发和推行二维码等溯源技术，全面推进无公害认证和出口认证，切实履行企业社会责任，有效防范质量安全风险，确保产品安全优质。</w:t>
      </w:r>
    </w:p>
    <w:p w14:paraId="6789E203">
      <w:pPr>
        <w:pageBreakBefore w:val="0"/>
        <w:kinsoku/>
        <w:overflowPunct/>
        <w:topLinePunct w:val="0"/>
        <w:autoSpaceDE/>
        <w:autoSpaceDN/>
        <w:bidi w:val="0"/>
        <w:adjustRightInd/>
        <w:snapToGrid/>
        <w:spacing w:line="590" w:lineRule="exact"/>
        <w:rPr>
          <w:rFonts w:hint="default" w:ascii="Times New Roman" w:hAnsi="Times New Roman"/>
          <w:color w:val="auto"/>
          <w:highlight w:val="none"/>
        </w:rPr>
      </w:pPr>
      <w:bookmarkStart w:id="24" w:name="_Toc30141"/>
      <w:r>
        <w:rPr>
          <w:rFonts w:hint="eastAsia" w:ascii="Times New Roman" w:hAnsi="Times New Roman"/>
          <w:b/>
          <w:bCs/>
          <w:color w:val="auto"/>
          <w:highlight w:val="none"/>
          <w:lang w:val="en-US" w:eastAsia="zh-CN"/>
        </w:rPr>
        <w:t>四是</w:t>
      </w:r>
      <w:r>
        <w:rPr>
          <w:rFonts w:hint="default" w:ascii="Times New Roman" w:hAnsi="Times New Roman"/>
          <w:b/>
          <w:bCs/>
          <w:color w:val="auto"/>
          <w:highlight w:val="none"/>
        </w:rPr>
        <w:t>狮头鹅屠宰加工废弃物全部实现无害化处理</w:t>
      </w:r>
      <w:bookmarkEnd w:id="24"/>
      <w:r>
        <w:rPr>
          <w:rFonts w:hint="eastAsia" w:ascii="Times New Roman" w:hAnsi="Times New Roman"/>
          <w:b/>
          <w:bCs/>
          <w:color w:val="auto"/>
          <w:highlight w:val="none"/>
          <w:lang w:eastAsia="zh-CN"/>
        </w:rPr>
        <w:t>。</w:t>
      </w:r>
      <w:r>
        <w:rPr>
          <w:rFonts w:hint="default" w:ascii="Times New Roman" w:hAnsi="Times New Roman"/>
          <w:color w:val="auto"/>
          <w:highlight w:val="none"/>
        </w:rPr>
        <w:t>产业园认真贯彻执行《动物防疫法》《环境保护法》等政策法规及《肉类加工工业水污染物排放标准》《肉类加工厂卫生规范》等国家有关屠宰加工、检疫、检验的规定和操作标准。园内狮头鹅经营主体配套建设标准化车间、全自动屠宰设备。狮头鹅经营主体建设标准化车间，配备全自动屠宰设备，配备检疫、检验仪器、无害化处理、污水处理站达标排放，</w:t>
      </w:r>
      <w:r>
        <w:rPr>
          <w:rFonts w:hint="default" w:ascii="Times New Roman" w:hAnsi="Times New Roman"/>
          <w:b w:val="0"/>
          <w:bCs w:val="0"/>
          <w:color w:val="auto"/>
          <w:highlight w:val="none"/>
        </w:rPr>
        <w:t>拥有处理90000m³/h的废气处理系统，处理2200m³/d屠宰废水处理站及每批处理家禽0.3吨的无害化处理设备设施</w:t>
      </w:r>
      <w:r>
        <w:rPr>
          <w:rFonts w:hint="default" w:ascii="Times New Roman" w:hAnsi="Times New Roman"/>
          <w:color w:val="auto"/>
          <w:highlight w:val="none"/>
        </w:rPr>
        <w:t>。</w:t>
      </w:r>
    </w:p>
    <w:p w14:paraId="0E30FB46">
      <w:pPr>
        <w:pStyle w:val="4"/>
        <w:rPr>
          <w:rFonts w:hint="eastAsia" w:ascii="Times New Roman" w:hAnsi="Times New Roman" w:cs="仿宋_GB2312"/>
          <w:b/>
          <w:bCs w:val="0"/>
          <w:color w:val="auto"/>
          <w:szCs w:val="32"/>
          <w:highlight w:val="none"/>
          <w:lang w:val="en-US" w:eastAsia="zh-CN"/>
        </w:rPr>
      </w:pPr>
      <w:bookmarkStart w:id="25" w:name="_Toc20028"/>
      <w:bookmarkStart w:id="26" w:name="_Toc18580"/>
      <w:bookmarkStart w:id="27" w:name="_Toc1088"/>
      <w:bookmarkStart w:id="28" w:name="_Toc7498"/>
      <w:r>
        <w:rPr>
          <w:rFonts w:hint="eastAsia" w:ascii="Times New Roman" w:hAnsi="Times New Roman" w:eastAsia="仿宋_GB2312" w:cs="仿宋_GB2312"/>
          <w:b/>
          <w:bCs w:val="0"/>
          <w:color w:val="auto"/>
          <w:szCs w:val="32"/>
          <w:highlight w:val="none"/>
          <w:lang w:val="en-US" w:eastAsia="zh-CN"/>
        </w:rPr>
        <w:t>6.</w:t>
      </w:r>
      <w:r>
        <w:rPr>
          <w:rFonts w:hint="eastAsia" w:ascii="Times New Roman" w:hAnsi="Times New Roman" w:cs="仿宋_GB2312"/>
          <w:b/>
          <w:bCs w:val="0"/>
          <w:color w:val="auto"/>
          <w:szCs w:val="32"/>
          <w:highlight w:val="none"/>
          <w:lang w:val="en-US" w:eastAsia="zh-CN"/>
        </w:rPr>
        <w:t>品牌营销体系健全</w:t>
      </w:r>
      <w:bookmarkEnd w:id="25"/>
      <w:bookmarkEnd w:id="26"/>
      <w:bookmarkEnd w:id="27"/>
      <w:bookmarkEnd w:id="28"/>
    </w:p>
    <w:p w14:paraId="48F58321">
      <w:pPr>
        <w:pageBreakBefore w:val="0"/>
        <w:kinsoku/>
        <w:overflowPunct/>
        <w:topLinePunct w:val="0"/>
        <w:autoSpaceDE/>
        <w:autoSpaceDN/>
        <w:bidi w:val="0"/>
        <w:adjustRightInd/>
        <w:snapToGrid/>
        <w:spacing w:line="590" w:lineRule="exact"/>
        <w:rPr>
          <w:rFonts w:hint="default" w:ascii="Times New Roman" w:hAnsi="Times New Roman"/>
          <w:color w:val="auto"/>
          <w:highlight w:val="none"/>
        </w:rPr>
      </w:pPr>
      <w:r>
        <w:rPr>
          <w:rFonts w:hint="default" w:ascii="Times New Roman" w:hAnsi="Times New Roman"/>
          <w:color w:val="auto"/>
          <w:highlight w:val="none"/>
        </w:rPr>
        <w:t>澄海区积极响应中央及广东省委省政府品牌强农战略，依托市场经济发达和产业化程度高的优势，注重发挥企业在品牌战略中的主力军作用，加大政策资金扶持力度，支持农业企业办基地、提质量、创品牌、搞推介。以龙头企业、行业协会为依托，推动区域品牌、企业品牌、农产品品牌等农业品牌强强联合，打破行政区域界限，实现“区域公用品牌+企业品牌”双驱动。</w:t>
      </w:r>
    </w:p>
    <w:p w14:paraId="1C99C4A2">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b w:val="0"/>
          <w:bCs w:val="0"/>
          <w:color w:val="auto"/>
          <w:highlight w:val="none"/>
        </w:rPr>
      </w:pPr>
      <w:bookmarkStart w:id="29" w:name="_Toc21882"/>
      <w:r>
        <w:rPr>
          <w:rFonts w:hint="eastAsia" w:ascii="Times New Roman" w:hAnsi="Times New Roman"/>
          <w:b/>
          <w:bCs/>
          <w:color w:val="auto"/>
          <w:highlight w:val="none"/>
          <w:lang w:val="en-US" w:eastAsia="zh-CN"/>
        </w:rPr>
        <w:t>一是</w:t>
      </w:r>
      <w:r>
        <w:rPr>
          <w:rFonts w:hint="default" w:ascii="Times New Roman" w:hAnsi="Times New Roman"/>
          <w:b/>
          <w:bCs/>
          <w:color w:val="auto"/>
          <w:highlight w:val="none"/>
        </w:rPr>
        <w:t>成功打造“澄海狮头鹅”区域公用品牌</w:t>
      </w:r>
      <w:bookmarkEnd w:id="29"/>
      <w:r>
        <w:rPr>
          <w:rFonts w:hint="eastAsia" w:ascii="Times New Roman" w:hAnsi="Times New Roman"/>
          <w:b/>
          <w:bCs/>
          <w:color w:val="auto"/>
          <w:highlight w:val="none"/>
          <w:lang w:eastAsia="zh-CN"/>
        </w:rPr>
        <w:t>。</w:t>
      </w:r>
      <w:r>
        <w:rPr>
          <w:rFonts w:hint="default" w:ascii="Times New Roman" w:hAnsi="Times New Roman"/>
          <w:color w:val="auto"/>
          <w:highlight w:val="none"/>
        </w:rPr>
        <w:t>深入推进狮头鹅品牌和“12221”市场体系建设，着力培育“七个一”工程，即一批狮头鹅大师、一批狮头鹅名店、一批狮头鹅龙头企业、一批狮头鹅电商、一批狮头鹅产业基地、一批狮头鹅合作社、一批狮头鹅产业链配套企业等，以一业火，带一地红，促百业旺。积极</w:t>
      </w:r>
      <w:r>
        <w:rPr>
          <w:rFonts w:hint="default" w:ascii="Times New Roman" w:hAnsi="Times New Roman"/>
          <w:color w:val="auto"/>
          <w:highlight w:val="none"/>
          <w:lang w:val="en-US" w:eastAsia="zh-CN"/>
        </w:rPr>
        <w:t>打造</w:t>
      </w:r>
      <w:r>
        <w:rPr>
          <w:rFonts w:hint="default" w:ascii="Times New Roman" w:hAnsi="Times New Roman"/>
          <w:color w:val="auto"/>
          <w:highlight w:val="none"/>
        </w:rPr>
        <w:t>“粤字号”“国字号”区域公用品牌，</w:t>
      </w:r>
      <w:r>
        <w:rPr>
          <w:rFonts w:hint="eastAsia" w:ascii="Times New Roman" w:hAnsi="Times New Roman"/>
          <w:color w:val="auto"/>
          <w:highlight w:val="none"/>
          <w:lang w:val="en-US" w:eastAsia="zh-CN"/>
        </w:rPr>
        <w:t>擦亮“世界鹅王之乡”金字招牌</w:t>
      </w:r>
      <w:r>
        <w:rPr>
          <w:rFonts w:hint="eastAsia" w:ascii="Times New Roman" w:hAnsi="Times New Roman"/>
          <w:b w:val="0"/>
          <w:bCs w:val="0"/>
          <w:color w:val="auto"/>
          <w:highlight w:val="none"/>
          <w:lang w:val="en-US" w:eastAsia="zh-CN"/>
        </w:rPr>
        <w:t>，</w:t>
      </w:r>
      <w:r>
        <w:rPr>
          <w:rFonts w:hint="default" w:ascii="Times New Roman" w:hAnsi="Times New Roman"/>
          <w:b w:val="0"/>
          <w:bCs w:val="0"/>
          <w:color w:val="auto"/>
          <w:highlight w:val="none"/>
        </w:rPr>
        <w:t>“澄海狮头鹅”</w:t>
      </w:r>
      <w:r>
        <w:rPr>
          <w:rFonts w:hint="eastAsia" w:ascii="Times New Roman" w:hAnsi="Times New Roman"/>
          <w:b w:val="0"/>
          <w:bCs w:val="0"/>
          <w:color w:val="auto"/>
          <w:highlight w:val="none"/>
          <w:lang w:val="en-US" w:eastAsia="zh-CN"/>
        </w:rPr>
        <w:t>区域公用品牌获得荣誉12项以上</w:t>
      </w:r>
      <w:r>
        <w:rPr>
          <w:rFonts w:hint="default" w:ascii="Times New Roman" w:hAnsi="Times New Roman"/>
          <w:b w:val="0"/>
          <w:bCs w:val="0"/>
          <w:color w:val="auto"/>
          <w:highlight w:val="none"/>
        </w:rPr>
        <w:t>。</w:t>
      </w:r>
    </w:p>
    <w:p w14:paraId="0DE48785">
      <w:pPr>
        <w:pStyle w:val="14"/>
        <w:rPr>
          <w:rFonts w:hint="default" w:ascii="Times New Roman" w:hAnsi="Times New Roman"/>
          <w:color w:val="auto"/>
          <w:highlight w:val="none"/>
        </w:rPr>
      </w:pPr>
    </w:p>
    <w:p w14:paraId="273C548B">
      <w:pPr>
        <w:pageBreakBefore w:val="0"/>
        <w:kinsoku/>
        <w:overflowPunct/>
        <w:topLinePunct w:val="0"/>
        <w:autoSpaceDE/>
        <w:autoSpaceDN/>
        <w:bidi w:val="0"/>
        <w:adjustRightInd/>
        <w:snapToGrid/>
        <w:spacing w:line="590" w:lineRule="exact"/>
        <w:ind w:firstLine="0" w:firstLineChars="0"/>
        <w:jc w:val="center"/>
        <w:rPr>
          <w:rFonts w:hint="eastAsia" w:ascii="Times New Roman" w:hAnsi="Times New Roman" w:eastAsia="黑体" w:cs="黑体"/>
          <w:b w:val="0"/>
          <w:bCs w:val="0"/>
          <w:color w:val="auto"/>
          <w:sz w:val="28"/>
          <w:szCs w:val="28"/>
          <w:highlight w:val="none"/>
          <w:lang w:val="en-US" w:eastAsia="zh-CN"/>
        </w:rPr>
      </w:pPr>
      <w:r>
        <w:rPr>
          <w:rFonts w:hint="eastAsia" w:ascii="Times New Roman" w:hAnsi="Times New Roman" w:eastAsia="黑体" w:cs="黑体"/>
          <w:b w:val="0"/>
          <w:bCs w:val="0"/>
          <w:color w:val="auto"/>
          <w:sz w:val="28"/>
          <w:szCs w:val="28"/>
          <w:highlight w:val="none"/>
          <w:lang w:eastAsia="zh-CN"/>
        </w:rPr>
        <w:t>“</w:t>
      </w:r>
      <w:r>
        <w:rPr>
          <w:rFonts w:hint="eastAsia" w:ascii="Times New Roman" w:hAnsi="Times New Roman" w:eastAsia="黑体" w:cs="黑体"/>
          <w:b w:val="0"/>
          <w:bCs w:val="0"/>
          <w:color w:val="auto"/>
          <w:sz w:val="28"/>
          <w:szCs w:val="28"/>
          <w:highlight w:val="none"/>
          <w:lang w:val="en-US" w:eastAsia="zh-CN"/>
        </w:rPr>
        <w:t>澄海狮头鹅</w:t>
      </w:r>
      <w:r>
        <w:rPr>
          <w:rFonts w:hint="eastAsia" w:ascii="Times New Roman" w:hAnsi="Times New Roman" w:eastAsia="黑体" w:cs="黑体"/>
          <w:b w:val="0"/>
          <w:bCs w:val="0"/>
          <w:color w:val="auto"/>
          <w:sz w:val="28"/>
          <w:szCs w:val="28"/>
          <w:highlight w:val="none"/>
          <w:lang w:eastAsia="zh-CN"/>
        </w:rPr>
        <w:t>”</w:t>
      </w:r>
      <w:r>
        <w:rPr>
          <w:rFonts w:hint="eastAsia" w:ascii="Times New Roman" w:hAnsi="Times New Roman" w:eastAsia="黑体" w:cs="黑体"/>
          <w:b w:val="0"/>
          <w:bCs w:val="0"/>
          <w:color w:val="auto"/>
          <w:sz w:val="28"/>
          <w:szCs w:val="28"/>
          <w:highlight w:val="none"/>
          <w:lang w:val="en-US" w:eastAsia="zh-CN"/>
        </w:rPr>
        <w:t>区域公用品牌获得荣誉汇总表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2175"/>
        <w:gridCol w:w="5527"/>
      </w:tblGrid>
      <w:tr w14:paraId="7F0B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820" w:type="dxa"/>
            <w:vAlign w:val="center"/>
          </w:tcPr>
          <w:p w14:paraId="355E2C81">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b/>
                <w:bCs/>
                <w:color w:val="auto"/>
                <w:sz w:val="24"/>
                <w:szCs w:val="24"/>
                <w:highlight w:val="none"/>
                <w:lang w:val="en-US" w:eastAsia="zh-CN"/>
              </w:rPr>
            </w:pPr>
            <w:r>
              <w:rPr>
                <w:rFonts w:hint="eastAsia" w:ascii="Times New Roman" w:hAnsi="Times New Roman" w:eastAsia="仿宋_GB2312" w:cs="仿宋_GB2312"/>
                <w:b/>
                <w:bCs/>
                <w:color w:val="auto"/>
                <w:sz w:val="24"/>
                <w:szCs w:val="24"/>
                <w:highlight w:val="none"/>
                <w:lang w:val="en-US" w:eastAsia="zh-CN"/>
              </w:rPr>
              <w:t>序号</w:t>
            </w:r>
          </w:p>
        </w:tc>
        <w:tc>
          <w:tcPr>
            <w:tcW w:w="2175" w:type="dxa"/>
            <w:vAlign w:val="center"/>
          </w:tcPr>
          <w:p w14:paraId="19531291">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b/>
                <w:bCs/>
                <w:color w:val="auto"/>
                <w:sz w:val="24"/>
                <w:szCs w:val="24"/>
                <w:highlight w:val="none"/>
                <w:lang w:val="en-US" w:eastAsia="zh-CN"/>
              </w:rPr>
            </w:pPr>
            <w:r>
              <w:rPr>
                <w:rFonts w:hint="eastAsia" w:ascii="Times New Roman" w:hAnsi="Times New Roman" w:eastAsia="仿宋_GB2312" w:cs="仿宋_GB2312"/>
                <w:b/>
                <w:bCs/>
                <w:color w:val="auto"/>
                <w:sz w:val="24"/>
                <w:szCs w:val="24"/>
                <w:highlight w:val="none"/>
                <w:lang w:val="en-US" w:eastAsia="zh-CN"/>
              </w:rPr>
              <w:t>年份</w:t>
            </w:r>
          </w:p>
        </w:tc>
        <w:tc>
          <w:tcPr>
            <w:tcW w:w="5527" w:type="dxa"/>
            <w:vAlign w:val="center"/>
          </w:tcPr>
          <w:p w14:paraId="6124533A">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b/>
                <w:bCs/>
                <w:color w:val="auto"/>
                <w:sz w:val="24"/>
                <w:szCs w:val="24"/>
                <w:highlight w:val="none"/>
                <w:lang w:val="en-US" w:eastAsia="zh-CN"/>
              </w:rPr>
            </w:pPr>
            <w:r>
              <w:rPr>
                <w:rFonts w:hint="eastAsia" w:ascii="Times New Roman" w:hAnsi="Times New Roman" w:eastAsia="仿宋_GB2312" w:cs="仿宋_GB2312"/>
                <w:b/>
                <w:bCs/>
                <w:color w:val="auto"/>
                <w:sz w:val="24"/>
                <w:szCs w:val="24"/>
                <w:highlight w:val="none"/>
                <w:lang w:val="en-US" w:eastAsia="zh-CN"/>
              </w:rPr>
              <w:t>获得荣誉</w:t>
            </w:r>
          </w:p>
        </w:tc>
      </w:tr>
      <w:tr w14:paraId="745BC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20" w:type="dxa"/>
            <w:vAlign w:val="center"/>
          </w:tcPr>
          <w:p w14:paraId="74886B33">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1</w:t>
            </w:r>
          </w:p>
        </w:tc>
        <w:tc>
          <w:tcPr>
            <w:tcW w:w="2175" w:type="dxa"/>
            <w:vAlign w:val="center"/>
          </w:tcPr>
          <w:p w14:paraId="14942202">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2007年</w:t>
            </w:r>
          </w:p>
        </w:tc>
        <w:tc>
          <w:tcPr>
            <w:tcW w:w="5527" w:type="dxa"/>
            <w:vAlign w:val="center"/>
          </w:tcPr>
          <w:p w14:paraId="4F349F1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以狮头鹅为原型创造的“澄海双咬鹅”被列入汕头市第一批非物质文化遗产名录。</w:t>
            </w:r>
          </w:p>
        </w:tc>
      </w:tr>
      <w:tr w14:paraId="31026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820" w:type="dxa"/>
            <w:vAlign w:val="center"/>
          </w:tcPr>
          <w:p w14:paraId="12410AC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2</w:t>
            </w:r>
          </w:p>
        </w:tc>
        <w:tc>
          <w:tcPr>
            <w:tcW w:w="2175" w:type="dxa"/>
            <w:vAlign w:val="center"/>
          </w:tcPr>
          <w:p w14:paraId="4B509CC5">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2014年</w:t>
            </w:r>
          </w:p>
        </w:tc>
        <w:tc>
          <w:tcPr>
            <w:tcW w:w="5527" w:type="dxa"/>
            <w:vAlign w:val="center"/>
          </w:tcPr>
          <w:p w14:paraId="7C317B99">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狮头鹅获得首届广东十大名牌系列农产品</w:t>
            </w:r>
          </w:p>
        </w:tc>
      </w:tr>
      <w:tr w14:paraId="19AA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0" w:type="dxa"/>
            <w:vAlign w:val="center"/>
          </w:tcPr>
          <w:p w14:paraId="34A5C598">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3</w:t>
            </w:r>
          </w:p>
        </w:tc>
        <w:tc>
          <w:tcPr>
            <w:tcW w:w="2175" w:type="dxa"/>
            <w:vAlign w:val="center"/>
          </w:tcPr>
          <w:p w14:paraId="27822DFF">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2019年</w:t>
            </w:r>
          </w:p>
        </w:tc>
        <w:tc>
          <w:tcPr>
            <w:tcW w:w="5527" w:type="dxa"/>
            <w:vAlign w:val="center"/>
          </w:tcPr>
          <w:p w14:paraId="2469562C">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澄海狮头鹅获得广东名鹅荣誉称号</w:t>
            </w:r>
          </w:p>
        </w:tc>
      </w:tr>
      <w:tr w14:paraId="765AB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Align w:val="center"/>
          </w:tcPr>
          <w:p w14:paraId="56667F78">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4</w:t>
            </w:r>
          </w:p>
        </w:tc>
        <w:tc>
          <w:tcPr>
            <w:tcW w:w="2175" w:type="dxa"/>
            <w:vAlign w:val="center"/>
          </w:tcPr>
          <w:p w14:paraId="0F7F9FA5">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2019年</w:t>
            </w:r>
          </w:p>
        </w:tc>
        <w:tc>
          <w:tcPr>
            <w:tcW w:w="5527" w:type="dxa"/>
            <w:vAlign w:val="center"/>
          </w:tcPr>
          <w:p w14:paraId="6FE8BF46">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卤鹅制作技艺（澄海）被列入市级非物质文化遗产</w:t>
            </w:r>
          </w:p>
        </w:tc>
      </w:tr>
      <w:tr w14:paraId="66866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Align w:val="center"/>
          </w:tcPr>
          <w:p w14:paraId="0C1D297D">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5</w:t>
            </w:r>
          </w:p>
        </w:tc>
        <w:tc>
          <w:tcPr>
            <w:tcW w:w="2175" w:type="dxa"/>
            <w:vAlign w:val="center"/>
          </w:tcPr>
          <w:p w14:paraId="56AA857F">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2020年</w:t>
            </w:r>
          </w:p>
        </w:tc>
        <w:tc>
          <w:tcPr>
            <w:tcW w:w="5527" w:type="dxa"/>
            <w:vAlign w:val="center"/>
          </w:tcPr>
          <w:p w14:paraId="192DC1F0">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澄海狮头鹅入选广东省名特优新农产品名录</w:t>
            </w:r>
          </w:p>
        </w:tc>
      </w:tr>
      <w:tr w14:paraId="1B39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Align w:val="center"/>
          </w:tcPr>
          <w:p w14:paraId="5C21338A">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6</w:t>
            </w:r>
          </w:p>
        </w:tc>
        <w:tc>
          <w:tcPr>
            <w:tcW w:w="2175" w:type="dxa"/>
            <w:vAlign w:val="center"/>
          </w:tcPr>
          <w:p w14:paraId="48B95341">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2021年</w:t>
            </w:r>
          </w:p>
        </w:tc>
        <w:tc>
          <w:tcPr>
            <w:tcW w:w="5527" w:type="dxa"/>
            <w:vAlign w:val="center"/>
          </w:tcPr>
          <w:p w14:paraId="0808AD57">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澄海狮头鹅获得首批“粤字号”农业品牌</w:t>
            </w:r>
          </w:p>
        </w:tc>
      </w:tr>
      <w:tr w14:paraId="1E42E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Align w:val="center"/>
          </w:tcPr>
          <w:p w14:paraId="5B80C975">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7</w:t>
            </w:r>
          </w:p>
        </w:tc>
        <w:tc>
          <w:tcPr>
            <w:tcW w:w="2175" w:type="dxa"/>
            <w:vAlign w:val="center"/>
          </w:tcPr>
          <w:p w14:paraId="6E3A95CC">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2021年</w:t>
            </w:r>
          </w:p>
        </w:tc>
        <w:tc>
          <w:tcPr>
            <w:tcW w:w="5527" w:type="dxa"/>
            <w:vAlign w:val="center"/>
          </w:tcPr>
          <w:p w14:paraId="6729744A">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2021“粤字号”农产品百县百品县域共用品牌“优秀品牌”称号</w:t>
            </w:r>
          </w:p>
        </w:tc>
      </w:tr>
      <w:tr w14:paraId="6DD5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Align w:val="center"/>
          </w:tcPr>
          <w:p w14:paraId="73FA2B0B">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8</w:t>
            </w:r>
          </w:p>
        </w:tc>
        <w:tc>
          <w:tcPr>
            <w:tcW w:w="2175" w:type="dxa"/>
            <w:vAlign w:val="center"/>
          </w:tcPr>
          <w:p w14:paraId="676C4DE9">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2021年</w:t>
            </w:r>
          </w:p>
        </w:tc>
        <w:tc>
          <w:tcPr>
            <w:tcW w:w="5527" w:type="dxa"/>
            <w:vAlign w:val="center"/>
          </w:tcPr>
          <w:p w14:paraId="24E6EBF4">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入选全国名特优新农产品名录</w:t>
            </w:r>
          </w:p>
        </w:tc>
      </w:tr>
      <w:tr w14:paraId="540C6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Align w:val="center"/>
          </w:tcPr>
          <w:p w14:paraId="70C40581">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9</w:t>
            </w:r>
          </w:p>
        </w:tc>
        <w:tc>
          <w:tcPr>
            <w:tcW w:w="2175" w:type="dxa"/>
            <w:vAlign w:val="center"/>
          </w:tcPr>
          <w:p w14:paraId="1AFA18FB">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2021年</w:t>
            </w:r>
          </w:p>
        </w:tc>
        <w:tc>
          <w:tcPr>
            <w:tcW w:w="5527" w:type="dxa"/>
            <w:vAlign w:val="center"/>
          </w:tcPr>
          <w:p w14:paraId="39487835">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“粤字号”优秀品牌20强</w:t>
            </w:r>
          </w:p>
        </w:tc>
      </w:tr>
      <w:tr w14:paraId="22A3E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Align w:val="center"/>
          </w:tcPr>
          <w:p w14:paraId="259F1F22">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10</w:t>
            </w:r>
          </w:p>
        </w:tc>
        <w:tc>
          <w:tcPr>
            <w:tcW w:w="2175" w:type="dxa"/>
            <w:vAlign w:val="center"/>
          </w:tcPr>
          <w:p w14:paraId="2257F73C">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2021年</w:t>
            </w:r>
          </w:p>
        </w:tc>
        <w:tc>
          <w:tcPr>
            <w:tcW w:w="5527" w:type="dxa"/>
            <w:vAlign w:val="center"/>
          </w:tcPr>
          <w:p w14:paraId="3A928A32">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澄海区被认定为广东省澄海狮头鹅特色农产品优势区</w:t>
            </w:r>
          </w:p>
        </w:tc>
      </w:tr>
      <w:tr w14:paraId="1AE19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Align w:val="center"/>
          </w:tcPr>
          <w:p w14:paraId="28E97BB0">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11</w:t>
            </w:r>
          </w:p>
        </w:tc>
        <w:tc>
          <w:tcPr>
            <w:tcW w:w="2175" w:type="dxa"/>
            <w:vAlign w:val="center"/>
          </w:tcPr>
          <w:p w14:paraId="70D24226">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2022年</w:t>
            </w:r>
          </w:p>
        </w:tc>
        <w:tc>
          <w:tcPr>
            <w:tcW w:w="5527" w:type="dxa"/>
            <w:vAlign w:val="center"/>
          </w:tcPr>
          <w:p w14:paraId="2A8C1CBD">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澄海狮头鹅荣获广东农产品“12221”市场体系建设十大优秀案例</w:t>
            </w:r>
          </w:p>
        </w:tc>
      </w:tr>
      <w:tr w14:paraId="36FD1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Align w:val="center"/>
          </w:tcPr>
          <w:p w14:paraId="7FA9684F">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12</w:t>
            </w:r>
          </w:p>
        </w:tc>
        <w:tc>
          <w:tcPr>
            <w:tcW w:w="2175" w:type="dxa"/>
            <w:vAlign w:val="center"/>
          </w:tcPr>
          <w:p w14:paraId="7FD5C87C">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2023年</w:t>
            </w:r>
          </w:p>
        </w:tc>
        <w:tc>
          <w:tcPr>
            <w:tcW w:w="5527" w:type="dxa"/>
            <w:vAlign w:val="center"/>
          </w:tcPr>
          <w:p w14:paraId="105C1F3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澄海狮头鹅获得第十二届广东现代农业博览会区域公用品牌营销奖</w:t>
            </w:r>
          </w:p>
        </w:tc>
      </w:tr>
    </w:tbl>
    <w:p w14:paraId="62154735">
      <w:pPr>
        <w:pageBreakBefore w:val="0"/>
        <w:kinsoku/>
        <w:overflowPunct/>
        <w:topLinePunct w:val="0"/>
        <w:autoSpaceDE/>
        <w:autoSpaceDN/>
        <w:bidi w:val="0"/>
        <w:adjustRightInd/>
        <w:snapToGrid/>
        <w:spacing w:line="590" w:lineRule="exact"/>
        <w:ind w:firstLine="640" w:firstLineChars="0"/>
        <w:rPr>
          <w:rFonts w:hint="default" w:ascii="Times New Roman" w:hAnsi="Times New Roman" w:eastAsia="仿宋_GB2312" w:cs="Times New Roman"/>
          <w:color w:val="auto"/>
          <w:sz w:val="32"/>
          <w:szCs w:val="32"/>
          <w:highlight w:val="none"/>
        </w:rPr>
      </w:pPr>
    </w:p>
    <w:p w14:paraId="0CCEC6D4">
      <w:pPr>
        <w:pageBreakBefore w:val="0"/>
        <w:kinsoku/>
        <w:overflowPunct/>
        <w:topLinePunct w:val="0"/>
        <w:autoSpaceDE/>
        <w:autoSpaceDN/>
        <w:bidi w:val="0"/>
        <w:adjustRightInd/>
        <w:snapToGrid/>
        <w:spacing w:line="590" w:lineRule="exact"/>
        <w:rPr>
          <w:rFonts w:hint="default" w:ascii="Times New Roman" w:hAnsi="Times New Roman"/>
          <w:color w:val="auto"/>
          <w:highlight w:val="none"/>
        </w:rPr>
      </w:pPr>
      <w:bookmarkStart w:id="30" w:name="_Toc4725"/>
      <w:r>
        <w:rPr>
          <w:rFonts w:hint="eastAsia" w:ascii="Times New Roman" w:hAnsi="Times New Roman"/>
          <w:b/>
          <w:bCs/>
          <w:color w:val="auto"/>
          <w:highlight w:val="none"/>
          <w:lang w:val="en-US" w:eastAsia="zh-CN"/>
        </w:rPr>
        <w:t>二是</w:t>
      </w:r>
      <w:r>
        <w:rPr>
          <w:rFonts w:hint="default" w:ascii="Times New Roman" w:hAnsi="Times New Roman"/>
          <w:b/>
          <w:bCs/>
          <w:color w:val="auto"/>
          <w:highlight w:val="none"/>
        </w:rPr>
        <w:t>澄海狮头鹅企业品牌享誉全国</w:t>
      </w:r>
      <w:bookmarkEnd w:id="30"/>
      <w:r>
        <w:rPr>
          <w:rFonts w:hint="eastAsia" w:ascii="Times New Roman" w:hAnsi="Times New Roman"/>
          <w:b/>
          <w:bCs/>
          <w:color w:val="auto"/>
          <w:highlight w:val="none"/>
          <w:lang w:eastAsia="zh-CN"/>
        </w:rPr>
        <w:t>。</w:t>
      </w:r>
      <w:r>
        <w:rPr>
          <w:rFonts w:hint="default" w:ascii="Times New Roman" w:hAnsi="Times New Roman"/>
          <w:color w:val="auto"/>
          <w:highlight w:val="none"/>
        </w:rPr>
        <w:t>产业园深入实施“粤菜师傅（潮菜）”工程，助推乡村振兴。成功打造“潮鹏”“日日香”“物只卤鹅”“正治禽业”“心瓷”“雅信”“卤攀攀”“澄鹅”“联农”“仁夺”等</w:t>
      </w:r>
      <w:r>
        <w:rPr>
          <w:rFonts w:hint="default" w:ascii="Times New Roman" w:hAnsi="Times New Roman"/>
          <w:b w:val="0"/>
          <w:bCs w:val="0"/>
          <w:color w:val="auto"/>
          <w:highlight w:val="none"/>
        </w:rPr>
        <w:t>企业品牌30多个，共获得世界级荣誉1项，国家级荣誉10多项</w:t>
      </w:r>
      <w:r>
        <w:rPr>
          <w:rFonts w:hint="default" w:ascii="Times New Roman" w:hAnsi="Times New Roman"/>
          <w:color w:val="auto"/>
          <w:highlight w:val="none"/>
        </w:rPr>
        <w:t>。其中“日日香卤鹅”已成为潮汕地区最知名的卤鹅品牌，受到了国内外餐饮界的一致认可，获得了</w:t>
      </w:r>
      <w:r>
        <w:rPr>
          <w:rFonts w:hint="default" w:ascii="Times New Roman" w:hAnsi="Times New Roman"/>
          <w:b w:val="0"/>
          <w:bCs w:val="0"/>
          <w:color w:val="auto"/>
          <w:highlight w:val="none"/>
        </w:rPr>
        <w:t>“中国名菜”“中华名小吃”“区级非物质文化遗产”“汕头老字号”“中华潮菜卤水鹅特金奖”</w:t>
      </w:r>
      <w:r>
        <w:rPr>
          <w:rFonts w:hint="default" w:ascii="Times New Roman" w:hAnsi="Times New Roman"/>
          <w:color w:val="auto"/>
          <w:highlight w:val="none"/>
        </w:rPr>
        <w:t>等奖项荣誉。日日香鹅肉饭店曾在“世界厨王争霸赛”荣获金奖，并多次荣获中国烹饪协会、广东餐饮协会等权威机构颁发的名店、名菜等荣誉称号；“物只卤鹅”接连获得“中华卤水鹅金奖”“中华卤水鹅肝特金奖”“潮州菜国家大赛银奖”等多项称号。</w:t>
      </w:r>
    </w:p>
    <w:p w14:paraId="676A4A8B">
      <w:pPr>
        <w:pageBreakBefore w:val="0"/>
        <w:kinsoku/>
        <w:overflowPunct/>
        <w:topLinePunct w:val="0"/>
        <w:autoSpaceDE/>
        <w:autoSpaceDN/>
        <w:bidi w:val="0"/>
        <w:adjustRightInd/>
        <w:snapToGrid/>
        <w:spacing w:line="590" w:lineRule="exact"/>
        <w:rPr>
          <w:rFonts w:hint="default" w:ascii="Times New Roman" w:hAnsi="Times New Roman"/>
          <w:color w:val="auto"/>
          <w:highlight w:val="none"/>
          <w:lang w:val="en-US" w:eastAsia="zh-CN"/>
        </w:rPr>
      </w:pPr>
      <w:bookmarkStart w:id="31" w:name="_Toc5298"/>
      <w:r>
        <w:rPr>
          <w:rFonts w:hint="eastAsia" w:ascii="Times New Roman" w:hAnsi="Times New Roman"/>
          <w:b/>
          <w:bCs/>
          <w:color w:val="auto"/>
          <w:highlight w:val="none"/>
          <w:lang w:val="en-US" w:eastAsia="zh-CN"/>
        </w:rPr>
        <w:t>三是</w:t>
      </w:r>
      <w:r>
        <w:rPr>
          <w:rFonts w:hint="default" w:ascii="Times New Roman" w:hAnsi="Times New Roman"/>
          <w:b/>
          <w:bCs/>
          <w:color w:val="auto"/>
          <w:highlight w:val="none"/>
        </w:rPr>
        <w:t>全方位多形式持续宣传推介澄海狮头鹅</w:t>
      </w:r>
      <w:bookmarkEnd w:id="31"/>
      <w:r>
        <w:rPr>
          <w:rFonts w:hint="eastAsia" w:ascii="Times New Roman" w:hAnsi="Times New Roman"/>
          <w:b/>
          <w:bCs/>
          <w:color w:val="auto"/>
          <w:highlight w:val="none"/>
          <w:lang w:eastAsia="zh-CN"/>
        </w:rPr>
        <w:t>。</w:t>
      </w:r>
      <w:r>
        <w:rPr>
          <w:rFonts w:hint="eastAsia" w:ascii="Times New Roman" w:hAnsi="Times New Roman"/>
          <w:b w:val="0"/>
          <w:bCs w:val="0"/>
          <w:color w:val="auto"/>
          <w:highlight w:val="none"/>
          <w:lang w:val="en-US" w:eastAsia="zh-CN"/>
        </w:rPr>
        <w:t>通过</w:t>
      </w:r>
      <w:r>
        <w:rPr>
          <w:rFonts w:hint="default" w:ascii="Times New Roman" w:hAnsi="Times New Roman"/>
          <w:b w:val="0"/>
          <w:bCs w:val="0"/>
          <w:color w:val="auto"/>
          <w:highlight w:val="none"/>
        </w:rPr>
        <w:t>参加举办国际、国家级等各类展会提高澄海狮头鹅影响力</w:t>
      </w:r>
      <w:r>
        <w:rPr>
          <w:rFonts w:hint="eastAsia" w:ascii="Times New Roman" w:hAnsi="Times New Roman"/>
          <w:b w:val="0"/>
          <w:bCs w:val="0"/>
          <w:color w:val="auto"/>
          <w:highlight w:val="none"/>
          <w:lang w:eastAsia="zh-CN"/>
        </w:rPr>
        <w:t>。</w:t>
      </w:r>
      <w:r>
        <w:rPr>
          <w:rFonts w:hint="default" w:ascii="Times New Roman" w:hAnsi="Times New Roman"/>
          <w:color w:val="auto"/>
          <w:highlight w:val="none"/>
        </w:rPr>
        <w:t>澄海区为扩大狮头鹅品牌影响力，积极组织各经营主体参加国际农产品交易会、农博会、食博会等展示展销活动，</w:t>
      </w:r>
      <w:r>
        <w:rPr>
          <w:rFonts w:hint="eastAsia" w:ascii="Times New Roman" w:hAnsi="Times New Roman"/>
          <w:color w:val="auto"/>
          <w:highlight w:val="none"/>
          <w:lang w:val="en-US" w:eastAsia="zh-CN"/>
        </w:rPr>
        <w:t>及</w:t>
      </w:r>
      <w:r>
        <w:rPr>
          <w:rFonts w:hint="default" w:ascii="Times New Roman" w:hAnsi="Times New Roman"/>
          <w:color w:val="auto"/>
          <w:highlight w:val="none"/>
        </w:rPr>
        <w:t>各类国际、国际级活动中积极宣传推介狮头鹅品牌，提高狮头鹅品牌美誉度。2018年汕头国际马拉松吉祥物“鹅仔”以澄海狮头鹅为设计出发点，</w:t>
      </w:r>
      <w:r>
        <w:rPr>
          <w:rFonts w:hint="default" w:ascii="Times New Roman" w:hAnsi="Times New Roman"/>
          <w:b w:val="0"/>
          <w:bCs w:val="0"/>
          <w:color w:val="auto"/>
          <w:highlight w:val="none"/>
        </w:rPr>
        <w:t>“澄海狮头鹅”变身汕头吉祥物</w:t>
      </w:r>
      <w:r>
        <w:rPr>
          <w:rFonts w:hint="default" w:ascii="Times New Roman" w:hAnsi="Times New Roman"/>
          <w:color w:val="auto"/>
          <w:highlight w:val="none"/>
        </w:rPr>
        <w:t>。在农业农村部主办的第十八届中国国际农产品交易会上，狮头鹅作为名优特色农产品赴渝参展。2018年，澄海狮头鹅各种精装系列产品（包括5年老卤鹅、130天的嫩鹅、鹅蛋）参展第九届广东现代农业博览会，吸引众多目光，许多人驻足拍照，澄海狮头鹅成为“网红鹅”。2020年11月在农业农村部主办的第十八届中国国际农产品交易会上，狮头鹅作为名优特色农产品赴渝参展秀鹅步。2020年，澄海区成功组织举办了</w:t>
      </w:r>
      <w:r>
        <w:rPr>
          <w:rFonts w:hint="default" w:ascii="Times New Roman" w:hAnsi="Times New Roman"/>
          <w:b w:val="0"/>
          <w:bCs w:val="0"/>
          <w:color w:val="auto"/>
          <w:highlight w:val="none"/>
        </w:rPr>
        <w:t>中国·汕头澄海狮头鹅国际网络节暨农产品跨境电商发展峰会（简称“澄海狮头鹅网络节”），开幕式和两场美食文化直播活动，累计流量突破2280万</w:t>
      </w:r>
      <w:r>
        <w:rPr>
          <w:rFonts w:hint="default" w:ascii="Times New Roman" w:hAnsi="Times New Roman"/>
          <w:color w:val="auto"/>
          <w:highlight w:val="none"/>
        </w:rPr>
        <w:t>。</w:t>
      </w:r>
      <w:r>
        <w:rPr>
          <w:rFonts w:hint="default" w:ascii="Times New Roman" w:hAnsi="Times New Roman"/>
          <w:b w:val="0"/>
          <w:bCs w:val="0"/>
          <w:color w:val="auto"/>
          <w:highlight w:val="none"/>
        </w:rPr>
        <w:t>2021年，成功举办“第四届中国鹅业发展大会”</w:t>
      </w:r>
      <w:r>
        <w:rPr>
          <w:rFonts w:hint="default" w:ascii="Times New Roman" w:hAnsi="Times New Roman"/>
          <w:color w:val="auto"/>
          <w:highlight w:val="none"/>
        </w:rPr>
        <w:t>汇聚了众多全国水禽界专家教授及知名企业代表；</w:t>
      </w:r>
      <w:r>
        <w:rPr>
          <w:rFonts w:hint="eastAsia" w:ascii="Times New Roman" w:hAnsi="Times New Roman"/>
          <w:color w:val="auto"/>
          <w:highlight w:val="none"/>
          <w:lang w:val="en-US" w:eastAsia="zh-CN"/>
        </w:rPr>
        <w:t>连续3年成功举办狮头鹅文化节活动，</w:t>
      </w:r>
      <w:r>
        <w:rPr>
          <w:rFonts w:hint="default" w:ascii="Times New Roman" w:hAnsi="Times New Roman"/>
          <w:color w:val="auto"/>
          <w:highlight w:val="none"/>
        </w:rPr>
        <w:t>发动侨胞、外国友人、名人等为澄海狮头鹅打call，</w:t>
      </w:r>
      <w:r>
        <w:rPr>
          <w:rFonts w:hint="default" w:ascii="Times New Roman" w:hAnsi="Times New Roman"/>
          <w:b w:val="0"/>
          <w:bCs w:val="0"/>
          <w:color w:val="auto"/>
          <w:highlight w:val="none"/>
        </w:rPr>
        <w:t>线上超4000万人观看了直播，推动澄海狮头鹅走向世界；成功举办“2021澄海最大狮头鹅评选活动”，39.1斤世界最重“鹅王”诞生，“澄海狮头鹅”霸屏微博热搜榜一天一夜，话题阅读量近1000万人次</w:t>
      </w:r>
      <w:r>
        <w:rPr>
          <w:rFonts w:hint="default" w:ascii="Times New Roman" w:hAnsi="Times New Roman"/>
          <w:color w:val="auto"/>
          <w:highlight w:val="none"/>
        </w:rPr>
        <w:t>。</w:t>
      </w:r>
      <w:r>
        <w:rPr>
          <w:rFonts w:hint="eastAsia" w:ascii="Times New Roman" w:hAnsi="Times New Roman"/>
          <w:color w:val="auto"/>
          <w:highlight w:val="none"/>
          <w:lang w:val="en-US" w:eastAsia="zh-CN"/>
        </w:rPr>
        <w:t>2023年，雅信、仁夺、熙望等狮头鹅经营主体多次参加首届海南国际热带食材供应链博览会、第二十届青岛中国国际农产品交流会、上海预制菜发布会、省农业厅农产品推介会、粤字号团体公用品牌推介会等活动，汕头市澄海区金涛种养专业合作社等接受《寻百强看中国》《牧草种植推广》《城事特搜》《触电新闻｜摇钱树》等栏目采访。</w:t>
      </w:r>
    </w:p>
    <w:p w14:paraId="74DED05D">
      <w:pPr>
        <w:pageBreakBefore w:val="0"/>
        <w:kinsoku/>
        <w:overflowPunct/>
        <w:topLinePunct w:val="0"/>
        <w:autoSpaceDE/>
        <w:autoSpaceDN/>
        <w:bidi w:val="0"/>
        <w:adjustRightInd/>
        <w:snapToGrid/>
        <w:spacing w:line="590" w:lineRule="exact"/>
        <w:rPr>
          <w:rFonts w:hint="default" w:ascii="Times New Roman" w:hAnsi="Times New Roman"/>
          <w:color w:val="auto"/>
          <w:highlight w:val="none"/>
        </w:rPr>
      </w:pPr>
      <w:r>
        <w:rPr>
          <w:rFonts w:hint="default" w:ascii="Times New Roman" w:hAnsi="Times New Roman"/>
          <w:b/>
          <w:bCs/>
          <w:color w:val="auto"/>
          <w:highlight w:val="none"/>
        </w:rPr>
        <w:t>央视等国内主流媒体宣传报道狮头鹅</w:t>
      </w:r>
      <w:r>
        <w:rPr>
          <w:rFonts w:hint="eastAsia" w:ascii="Times New Roman" w:hAnsi="Times New Roman"/>
          <w:b/>
          <w:bCs/>
          <w:color w:val="auto"/>
          <w:highlight w:val="none"/>
          <w:lang w:eastAsia="zh-CN"/>
        </w:rPr>
        <w:t>。</w:t>
      </w:r>
      <w:r>
        <w:rPr>
          <w:rFonts w:hint="default" w:ascii="Times New Roman" w:hAnsi="Times New Roman"/>
          <w:color w:val="auto"/>
          <w:highlight w:val="none"/>
        </w:rPr>
        <w:t>澄海区委区政府积极邀请中央广播电视总台、新华网、南方+、南方农村报、羊城晚报、凤凰卫视、广东卫视等重要媒体宣传报道澄海狮头鹅，提高澄海狮头鹅知名度。在拍摄狮头鹅宣传片、制作狮头鹅微信表情包、电梯及地铁投放广告等相关宣传推介基础上，积极开拓与国内媒体合作交流渠道</w:t>
      </w:r>
      <w:r>
        <w:rPr>
          <w:rFonts w:hint="default" w:ascii="Times New Roman" w:hAnsi="Times New Roman"/>
          <w:b w:val="0"/>
          <w:bCs w:val="0"/>
          <w:color w:val="auto"/>
          <w:highlight w:val="none"/>
        </w:rPr>
        <w:t>。中央电视台第二套《经济半小时》、央视《走进乡村看小康》、</w:t>
      </w:r>
      <w:r>
        <w:rPr>
          <w:rFonts w:hint="default" w:ascii="Times New Roman" w:hAnsi="Times New Roman"/>
          <w:b w:val="0"/>
          <w:bCs w:val="0"/>
          <w:color w:val="auto"/>
          <w:highlight w:val="none"/>
          <w:lang w:val="en-US" w:eastAsia="zh-CN"/>
        </w:rPr>
        <w:t>中央</w:t>
      </w:r>
      <w:r>
        <w:rPr>
          <w:rFonts w:hint="eastAsia" w:ascii="Times New Roman" w:hAnsi="Times New Roman"/>
          <w:b w:val="0"/>
          <w:bCs w:val="0"/>
          <w:color w:val="auto"/>
          <w:highlight w:val="none"/>
          <w:lang w:val="en-US" w:eastAsia="zh-CN"/>
        </w:rPr>
        <w:t>十七</w:t>
      </w:r>
      <w:r>
        <w:rPr>
          <w:rFonts w:hint="default" w:ascii="Times New Roman" w:hAnsi="Times New Roman"/>
          <w:b w:val="0"/>
          <w:bCs w:val="0"/>
          <w:color w:val="auto"/>
          <w:highlight w:val="none"/>
          <w:lang w:val="en-US" w:eastAsia="zh-CN"/>
        </w:rPr>
        <w:t>套《致富经</w:t>
      </w:r>
      <w:r>
        <w:rPr>
          <w:rFonts w:hint="eastAsia" w:ascii="Times New Roman" w:hAnsi="Times New Roman"/>
          <w:b w:val="0"/>
          <w:bCs w:val="0"/>
          <w:color w:val="auto"/>
          <w:highlight w:val="none"/>
          <w:lang w:val="en-US" w:eastAsia="zh-CN"/>
        </w:rPr>
        <w:t>-大鹅来财</w:t>
      </w:r>
      <w:r>
        <w:rPr>
          <w:rFonts w:hint="default" w:ascii="Times New Roman" w:hAnsi="Times New Roman"/>
          <w:b w:val="0"/>
          <w:bCs w:val="0"/>
          <w:color w:val="auto"/>
          <w:highlight w:val="none"/>
          <w:lang w:val="en-US" w:eastAsia="zh-CN"/>
        </w:rPr>
        <w:t>》</w:t>
      </w:r>
      <w:r>
        <w:rPr>
          <w:rFonts w:hint="default" w:ascii="Times New Roman" w:hAnsi="Times New Roman"/>
          <w:b w:val="0"/>
          <w:bCs w:val="0"/>
          <w:color w:val="auto"/>
          <w:highlight w:val="none"/>
        </w:rPr>
        <w:t>、第七套《每日农经》《谁知盘中餐》</w:t>
      </w:r>
      <w:r>
        <w:rPr>
          <w:rFonts w:hint="eastAsia" w:ascii="Times New Roman" w:hAnsi="Times New Roman"/>
          <w:b w:val="0"/>
          <w:bCs w:val="0"/>
          <w:color w:val="auto"/>
          <w:highlight w:val="none"/>
          <w:lang w:eastAsia="zh-CN"/>
        </w:rPr>
        <w:t>、</w:t>
      </w:r>
      <w:r>
        <w:rPr>
          <w:rFonts w:hint="default" w:ascii="Times New Roman" w:hAnsi="Times New Roman"/>
          <w:b w:val="0"/>
          <w:bCs w:val="0"/>
          <w:color w:val="auto"/>
          <w:highlight w:val="none"/>
        </w:rPr>
        <w:t>中国新闻网、广东电视台老广味道之潮汕卤鹅及广东省农业农村厅官网等国内主流媒体宣传报道狮头鹅共计300多次。</w:t>
      </w:r>
      <w:r>
        <w:rPr>
          <w:rFonts w:hint="default" w:ascii="Times New Roman" w:hAnsi="Times New Roman"/>
          <w:color w:val="auto"/>
          <w:highlight w:val="none"/>
        </w:rPr>
        <w:t>2020年，澄海狮头鹅登上“广东百万农民线上免费培训工程”，广东农产品“保供稳价安心”数字平台、腾讯微视、新华网、一直播4个直播间共录得观看总人数638万。“广东百万农民线上培训”的话题，登上了微博热搜第3位，“粤讲粤农直播微综艺”登上了微视热门第9位。2021年，</w:t>
      </w:r>
      <w:r>
        <w:rPr>
          <w:rFonts w:hint="default" w:ascii="Times New Roman" w:hAnsi="Times New Roman"/>
          <w:b w:val="0"/>
          <w:bCs w:val="0"/>
          <w:color w:val="auto"/>
          <w:highlight w:val="none"/>
        </w:rPr>
        <w:t>澄海狮头鹅接连实现香港、泰国出口突破，迅速登上10城热搜，</w:t>
      </w:r>
      <w:r>
        <w:rPr>
          <w:rFonts w:hint="default" w:ascii="Times New Roman" w:hAnsi="Times New Roman"/>
          <w:color w:val="auto"/>
          <w:highlight w:val="none"/>
        </w:rPr>
        <w:t>深圳、广州、佛山、东莞、珠海、汕头等地网友纷纷为漂洋过海的澄海狮头鹅点赞，</w:t>
      </w:r>
      <w:r>
        <w:rPr>
          <w:rFonts w:hint="default" w:ascii="Times New Roman" w:hAnsi="Times New Roman"/>
          <w:b w:val="0"/>
          <w:bCs w:val="0"/>
          <w:color w:val="auto"/>
          <w:highlight w:val="none"/>
        </w:rPr>
        <w:t>“广东澄海狮头鹅火到海外去了”话题阅读量突破1000万人次</w:t>
      </w:r>
      <w:r>
        <w:rPr>
          <w:rFonts w:hint="default" w:ascii="Times New Roman" w:hAnsi="Times New Roman"/>
          <w:color w:val="auto"/>
          <w:highlight w:val="none"/>
        </w:rPr>
        <w:t>。2022年，由南方报业传媒集团与汕头市澄海区农业农村局共建的南方+“澄海狮头鹅频道”正式上线，借助南方日报日均发行量连续35年居全国省级党报之首，南方+客户端下载量超8000万，日活数600万人，南方号超过7000个，共建频道超过300个等有力平台优势，共建移动端主流舆论阵地，打造权威新型传播平台，共同讲好澄海狮头鹅的故事。</w:t>
      </w:r>
    </w:p>
    <w:p w14:paraId="29174304">
      <w:pPr>
        <w:pStyle w:val="4"/>
        <w:rPr>
          <w:rFonts w:hint="eastAsia" w:ascii="Times New Roman" w:hAnsi="Times New Roman" w:cs="仿宋_GB2312"/>
          <w:b/>
          <w:bCs w:val="0"/>
          <w:color w:val="auto"/>
          <w:szCs w:val="32"/>
          <w:highlight w:val="none"/>
          <w:lang w:val="en-US" w:eastAsia="zh-CN"/>
        </w:rPr>
      </w:pPr>
      <w:bookmarkStart w:id="32" w:name="_Toc30175"/>
      <w:bookmarkStart w:id="33" w:name="_Toc14270"/>
      <w:bookmarkStart w:id="34" w:name="_Toc8235"/>
      <w:bookmarkStart w:id="35" w:name="_Toc17924"/>
      <w:r>
        <w:rPr>
          <w:rFonts w:hint="eastAsia" w:ascii="Times New Roman" w:hAnsi="Times New Roman" w:eastAsia="仿宋_GB2312" w:cs="仿宋_GB2312"/>
          <w:b/>
          <w:bCs w:val="0"/>
          <w:color w:val="auto"/>
          <w:szCs w:val="32"/>
          <w:highlight w:val="none"/>
          <w:lang w:val="en-US" w:eastAsia="zh-CN"/>
        </w:rPr>
        <w:t>7.</w:t>
      </w:r>
      <w:r>
        <w:rPr>
          <w:rFonts w:hint="eastAsia" w:ascii="Times New Roman" w:hAnsi="Times New Roman" w:cs="仿宋_GB2312"/>
          <w:b/>
          <w:bCs w:val="0"/>
          <w:color w:val="auto"/>
          <w:szCs w:val="32"/>
          <w:highlight w:val="none"/>
          <w:lang w:val="en-US" w:eastAsia="zh-CN"/>
        </w:rPr>
        <w:t>联农带农成效显著</w:t>
      </w:r>
      <w:bookmarkEnd w:id="32"/>
      <w:bookmarkEnd w:id="33"/>
      <w:bookmarkEnd w:id="34"/>
      <w:bookmarkEnd w:id="35"/>
    </w:p>
    <w:p w14:paraId="0157B03A">
      <w:pPr>
        <w:pageBreakBefore w:val="0"/>
        <w:kinsoku/>
        <w:overflowPunct/>
        <w:topLinePunct w:val="0"/>
        <w:autoSpaceDE/>
        <w:autoSpaceDN/>
        <w:bidi w:val="0"/>
        <w:adjustRightInd/>
        <w:snapToGrid/>
        <w:spacing w:line="590" w:lineRule="exact"/>
        <w:rPr>
          <w:rFonts w:hint="default" w:ascii="Times New Roman" w:hAnsi="Times New Roman"/>
          <w:color w:val="auto"/>
          <w:highlight w:val="none"/>
        </w:rPr>
      </w:pPr>
      <w:r>
        <w:rPr>
          <w:rFonts w:hint="default" w:ascii="Times New Roman" w:hAnsi="Times New Roman"/>
          <w:color w:val="auto"/>
          <w:highlight w:val="none"/>
        </w:rPr>
        <w:t>产业园坚持姓农、务农、为农、兴农，把农民增收放在首要位置，园内企业、合作社、农户等经营主体之间建立了流转聘用、土地入股、技术分红等机制，形成了“保底+分红”、入股分红、租金和劳务收益等多样化的农民增收模式。</w:t>
      </w:r>
      <w:r>
        <w:rPr>
          <w:rFonts w:hint="default" w:ascii="Times New Roman" w:hAnsi="Times New Roman"/>
          <w:b w:val="0"/>
          <w:bCs w:val="0"/>
          <w:color w:val="auto"/>
          <w:highlight w:val="none"/>
        </w:rPr>
        <w:t>202</w:t>
      </w:r>
      <w:r>
        <w:rPr>
          <w:rFonts w:hint="eastAsia" w:ascii="Times New Roman" w:hAnsi="Times New Roman"/>
          <w:b w:val="0"/>
          <w:bCs w:val="0"/>
          <w:color w:val="auto"/>
          <w:highlight w:val="none"/>
          <w:lang w:val="en-US" w:eastAsia="zh-CN"/>
        </w:rPr>
        <w:t>3</w:t>
      </w:r>
      <w:r>
        <w:rPr>
          <w:rFonts w:hint="default" w:ascii="Times New Roman" w:hAnsi="Times New Roman"/>
          <w:b w:val="0"/>
          <w:bCs w:val="0"/>
          <w:color w:val="auto"/>
          <w:highlight w:val="none"/>
        </w:rPr>
        <w:t>年，</w:t>
      </w:r>
      <w:r>
        <w:rPr>
          <w:rFonts w:hint="default" w:ascii="Times New Roman" w:hAnsi="Times New Roman"/>
          <w:b w:val="0"/>
          <w:bCs w:val="0"/>
          <w:color w:val="auto"/>
          <w:highlight w:val="none"/>
          <w:lang w:eastAsia="zh-CN"/>
        </w:rPr>
        <w:t>与合作社或龙头企业建立利益联结机制的农户比重</w:t>
      </w:r>
      <w:r>
        <w:rPr>
          <w:rFonts w:hint="eastAsia" w:ascii="Times New Roman" w:hAnsi="Times New Roman"/>
          <w:b w:val="0"/>
          <w:bCs w:val="0"/>
          <w:color w:val="auto"/>
          <w:highlight w:val="none"/>
          <w:lang w:val="en-US" w:eastAsia="zh-CN"/>
        </w:rPr>
        <w:t>达65%，</w:t>
      </w:r>
      <w:r>
        <w:rPr>
          <w:rFonts w:hint="default" w:ascii="Times New Roman" w:hAnsi="Times New Roman"/>
          <w:b w:val="0"/>
          <w:bCs w:val="0"/>
          <w:color w:val="auto"/>
          <w:highlight w:val="none"/>
        </w:rPr>
        <w:t>产业园内农民人均可支配收入达3.</w:t>
      </w:r>
      <w:r>
        <w:rPr>
          <w:rFonts w:hint="eastAsia" w:ascii="Times New Roman" w:hAnsi="Times New Roman"/>
          <w:b w:val="0"/>
          <w:bCs w:val="0"/>
          <w:color w:val="auto"/>
          <w:highlight w:val="none"/>
          <w:lang w:val="en-US" w:eastAsia="zh-CN"/>
        </w:rPr>
        <w:t>17</w:t>
      </w:r>
      <w:r>
        <w:rPr>
          <w:rFonts w:hint="default" w:ascii="Times New Roman" w:hAnsi="Times New Roman"/>
          <w:b w:val="0"/>
          <w:bCs w:val="0"/>
          <w:color w:val="auto"/>
          <w:highlight w:val="none"/>
        </w:rPr>
        <w:t>万元，高于当地平均水平的3</w:t>
      </w:r>
      <w:r>
        <w:rPr>
          <w:rFonts w:hint="eastAsia" w:ascii="Times New Roman" w:hAnsi="Times New Roman"/>
          <w:b w:val="0"/>
          <w:bCs w:val="0"/>
          <w:color w:val="auto"/>
          <w:highlight w:val="none"/>
          <w:lang w:val="en-US" w:eastAsia="zh-CN"/>
        </w:rPr>
        <w:t>1.3</w:t>
      </w:r>
      <w:r>
        <w:rPr>
          <w:rFonts w:hint="default" w:ascii="Times New Roman" w:hAnsi="Times New Roman"/>
          <w:b w:val="0"/>
          <w:bCs w:val="0"/>
          <w:color w:val="auto"/>
          <w:highlight w:val="none"/>
        </w:rPr>
        <w:t>%</w:t>
      </w:r>
      <w:r>
        <w:rPr>
          <w:rFonts w:hint="default" w:ascii="Times New Roman" w:hAnsi="Times New Roman"/>
          <w:color w:val="auto"/>
          <w:highlight w:val="none"/>
        </w:rPr>
        <w:t>。</w:t>
      </w:r>
    </w:p>
    <w:p w14:paraId="1B3003A4">
      <w:pPr>
        <w:bidi w:val="0"/>
        <w:rPr>
          <w:rFonts w:hint="default" w:ascii="Times New Roman" w:hAnsi="Times New Roman"/>
          <w:color w:val="auto"/>
          <w:highlight w:val="none"/>
        </w:rPr>
      </w:pPr>
      <w:bookmarkStart w:id="36" w:name="_Toc8279"/>
      <w:r>
        <w:rPr>
          <w:rFonts w:hint="eastAsia" w:ascii="Times New Roman" w:hAnsi="Times New Roman"/>
          <w:b/>
          <w:bCs/>
          <w:color w:val="auto"/>
          <w:highlight w:val="none"/>
          <w:lang w:val="en-US" w:eastAsia="zh-CN"/>
        </w:rPr>
        <w:t>一是</w:t>
      </w:r>
      <w:r>
        <w:rPr>
          <w:rFonts w:hint="default" w:ascii="Times New Roman" w:hAnsi="Times New Roman"/>
          <w:b/>
          <w:bCs/>
          <w:color w:val="auto"/>
          <w:highlight w:val="none"/>
        </w:rPr>
        <w:t>成功构建狮头鹅产业经营体系</w:t>
      </w:r>
      <w:bookmarkEnd w:id="36"/>
      <w:r>
        <w:rPr>
          <w:rFonts w:hint="eastAsia" w:ascii="Times New Roman" w:hAnsi="Times New Roman"/>
          <w:b/>
          <w:bCs/>
          <w:color w:val="auto"/>
          <w:highlight w:val="none"/>
          <w:lang w:eastAsia="zh-CN"/>
        </w:rPr>
        <w:t>。</w:t>
      </w:r>
      <w:r>
        <w:rPr>
          <w:rFonts w:hint="default" w:ascii="Times New Roman" w:hAnsi="Times New Roman"/>
          <w:color w:val="auto"/>
          <w:highlight w:val="none"/>
        </w:rPr>
        <w:t>产业园加快推进农村土地承包经营权确权登记颁证工作，积极探索农村土地“三权”分置，在依法、自愿、有偿、有序的基础上，鼓励园区农民通过“转包、转让、互换、租赁、入股”等多种形式，有偿流转土地承包经营权</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园内适度规模经营率达到63%</w:t>
      </w:r>
      <w:r>
        <w:rPr>
          <w:rFonts w:hint="default" w:ascii="Times New Roman" w:hAnsi="Times New Roman"/>
          <w:color w:val="auto"/>
          <w:highlight w:val="none"/>
        </w:rPr>
        <w:t>。产业园内家庭农场、农民专业合作社和龙头企业的数量日趋增多，规模不断壮大，效益不断提升，已成为产业园发展现代农业的主要生力军。产业园内狮头鹅新型经营主体紧随传统农业向现代农业转变的大趋势，经营范围和服务内容日益宽泛，产业链条不断完善。经营范围上，分布涉及狮头鹅种苗繁育、养殖加工、屠宰分割、商贸流通电子商务等诸多方面。服务内容上，主动引领发展特色产业，投入大量资金、高新技术与设施和村集体经济、农户土地劳力合股经营，在全产业链各个环节深度融合发展，促进了生产经营规模化、专业化、标准化。农业产业化组织群体的迅速崛起，极大地提升了产业园产业化经营水平，农业产业化经营机制和管理体系已经形成，以狮头鹅产业为基础的生产经营体系基本形成，农民组织化程度日益提高。</w:t>
      </w:r>
    </w:p>
    <w:p w14:paraId="1EB651CF">
      <w:pPr>
        <w:bidi w:val="0"/>
        <w:rPr>
          <w:rFonts w:hint="default" w:ascii="Times New Roman" w:hAnsi="Times New Roman"/>
          <w:color w:val="auto"/>
          <w:highlight w:val="none"/>
        </w:rPr>
      </w:pPr>
      <w:bookmarkStart w:id="37" w:name="_Toc26083"/>
      <w:r>
        <w:rPr>
          <w:rFonts w:hint="eastAsia" w:ascii="Times New Roman" w:hAnsi="Times New Roman"/>
          <w:b/>
          <w:bCs/>
          <w:color w:val="auto"/>
          <w:highlight w:val="none"/>
          <w:lang w:val="en-US" w:eastAsia="zh-CN"/>
        </w:rPr>
        <w:t>二是</w:t>
      </w:r>
      <w:r>
        <w:rPr>
          <w:rFonts w:hint="default" w:ascii="Times New Roman" w:hAnsi="Times New Roman"/>
          <w:b/>
          <w:bCs/>
          <w:color w:val="auto"/>
          <w:highlight w:val="none"/>
        </w:rPr>
        <w:t>澄海狮头鹅是群众增收的重要产业</w:t>
      </w:r>
      <w:bookmarkEnd w:id="37"/>
      <w:r>
        <w:rPr>
          <w:rFonts w:hint="eastAsia" w:ascii="Times New Roman" w:hAnsi="Times New Roman"/>
          <w:b/>
          <w:bCs/>
          <w:color w:val="auto"/>
          <w:highlight w:val="none"/>
          <w:lang w:eastAsia="zh-CN"/>
        </w:rPr>
        <w:t>。</w:t>
      </w:r>
      <w:r>
        <w:rPr>
          <w:rFonts w:hint="default" w:ascii="Times New Roman" w:hAnsi="Times New Roman"/>
          <w:color w:val="auto"/>
          <w:highlight w:val="none"/>
        </w:rPr>
        <w:t>产业园内狮头鹅规模养殖户1200多户，</w:t>
      </w:r>
      <w:r>
        <w:rPr>
          <w:rFonts w:hint="default" w:ascii="Times New Roman" w:hAnsi="Times New Roman"/>
          <w:b w:val="0"/>
          <w:bCs w:val="0"/>
          <w:color w:val="auto"/>
          <w:highlight w:val="none"/>
        </w:rPr>
        <w:t>澄海区“鹅苗外供+回流宰杀”</w:t>
      </w:r>
      <w:r>
        <w:rPr>
          <w:rFonts w:hint="default" w:ascii="Times New Roman" w:hAnsi="Times New Roman"/>
          <w:color w:val="auto"/>
          <w:highlight w:val="none"/>
        </w:rPr>
        <w:t>特有产业发展模式，辐射带动福建、广西、江西、云南、安徽、贵州、河南及东北各省农户养殖狮头鹅。</w:t>
      </w:r>
      <w:r>
        <w:rPr>
          <w:rFonts w:hint="eastAsia" w:ascii="Times New Roman" w:hAnsi="Times New Roman"/>
          <w:color w:val="auto"/>
          <w:highlight w:val="none"/>
          <w:lang w:val="en-US" w:eastAsia="zh-CN"/>
        </w:rPr>
        <w:t>汕头市正治禽业有限公司联合华南农业大学采取“高校+公司+农户”的形式对澄海区莲下镇狮头鹅养殖户开展精准技术咨询对接服务，发放《肉鹅标准化养殖技术》等实用技术资料图册，农户养殖狮头鹅成活率提高5%—10%，且狮头鹅品质得到提升，单只狮头鹅利润提升2元。</w:t>
      </w:r>
      <w:r>
        <w:rPr>
          <w:rFonts w:hint="default" w:ascii="Times New Roman" w:hAnsi="Times New Roman"/>
          <w:color w:val="auto"/>
          <w:highlight w:val="none"/>
        </w:rPr>
        <w:t>通过建立一套科学的养鹅标准和场地建设标准，同时搭建信息共享平台，制定报价收购制度，保障狮头鹅市场销路，带动农户增收致富。</w:t>
      </w:r>
      <w:r>
        <w:rPr>
          <w:rFonts w:hint="default" w:ascii="Times New Roman" w:hAnsi="Times New Roman"/>
          <w:b w:val="0"/>
          <w:bCs w:val="0"/>
          <w:color w:val="auto"/>
          <w:highlight w:val="none"/>
        </w:rPr>
        <w:t>202</w:t>
      </w:r>
      <w:r>
        <w:rPr>
          <w:rFonts w:hint="eastAsia" w:ascii="Times New Roman" w:hAnsi="Times New Roman"/>
          <w:b w:val="0"/>
          <w:bCs w:val="0"/>
          <w:color w:val="auto"/>
          <w:highlight w:val="none"/>
          <w:lang w:val="en-US" w:eastAsia="zh-CN"/>
        </w:rPr>
        <w:t>3</w:t>
      </w:r>
      <w:r>
        <w:rPr>
          <w:rFonts w:hint="default" w:ascii="Times New Roman" w:hAnsi="Times New Roman"/>
          <w:b w:val="0"/>
          <w:bCs w:val="0"/>
          <w:color w:val="auto"/>
          <w:highlight w:val="none"/>
        </w:rPr>
        <w:t>年狮头鹅养殖场每亩产值超40万元，农户年均收入超80万元，纯收入近10万元</w:t>
      </w:r>
      <w:r>
        <w:rPr>
          <w:rFonts w:hint="default" w:ascii="Times New Roman" w:hAnsi="Times New Roman"/>
          <w:color w:val="auto"/>
          <w:highlight w:val="none"/>
        </w:rPr>
        <w:t>。</w:t>
      </w:r>
    </w:p>
    <w:p w14:paraId="5B3C32C7">
      <w:pPr>
        <w:bidi w:val="0"/>
        <w:rPr>
          <w:rFonts w:hint="default" w:ascii="Times New Roman" w:hAnsi="Times New Roman"/>
          <w:color w:val="auto"/>
          <w:highlight w:val="none"/>
        </w:rPr>
      </w:pPr>
      <w:bookmarkStart w:id="38" w:name="_Toc31126"/>
      <w:r>
        <w:rPr>
          <w:rFonts w:hint="eastAsia" w:ascii="Times New Roman" w:hAnsi="Times New Roman"/>
          <w:b/>
          <w:bCs/>
          <w:color w:val="auto"/>
          <w:highlight w:val="none"/>
          <w:lang w:val="en-US" w:eastAsia="zh-CN"/>
        </w:rPr>
        <w:t>三是紧抓机遇实现全民创新、万众创业</w:t>
      </w:r>
      <w:bookmarkEnd w:id="38"/>
      <w:r>
        <w:rPr>
          <w:rFonts w:hint="eastAsia" w:ascii="Times New Roman" w:hAnsi="Times New Roman"/>
          <w:b/>
          <w:bCs/>
          <w:color w:val="auto"/>
          <w:highlight w:val="none"/>
          <w:lang w:val="en-US" w:eastAsia="zh-CN"/>
        </w:rPr>
        <w:t>。打好“三张牌”，加大招商引资力度。</w:t>
      </w:r>
      <w:r>
        <w:rPr>
          <w:rFonts w:hint="eastAsia" w:ascii="Times New Roman" w:hAnsi="Times New Roman"/>
          <w:color w:val="auto"/>
          <w:highlight w:val="none"/>
          <w:lang w:val="en-US" w:eastAsia="zh-CN"/>
        </w:rPr>
        <w:t>充分发挥潮汕乡贤优势，做好“引老乡、回故乡、建家乡”文章，以乡情人文纽带吸引乡贤回乡投资创业，打好“侨牌”和“乡情牌”。紧抓深汕深度协作契机，加强与深圳企业对接洽谈合作，全力争取引进一批投资额大、带动力强的优质项目，打好“对接帮扶牌”。精准对接22个5000万以上的招商引资项目，目前已有29个项目落地，投资总额超过140亿元。</w:t>
      </w:r>
      <w:r>
        <w:rPr>
          <w:rFonts w:hint="eastAsia" w:ascii="Times New Roman" w:hAnsi="Times New Roman"/>
          <w:b/>
          <w:bCs/>
          <w:color w:val="auto"/>
          <w:highlight w:val="none"/>
          <w:lang w:val="en-US" w:eastAsia="zh-CN"/>
        </w:rPr>
        <w:t>紧抓“粤菜师傅”发展机遇</w:t>
      </w:r>
      <w:r>
        <w:rPr>
          <w:rFonts w:hint="eastAsia" w:ascii="Times New Roman" w:hAnsi="Times New Roman"/>
          <w:color w:val="auto"/>
          <w:highlight w:val="none"/>
          <w:lang w:val="en-US" w:eastAsia="zh-CN"/>
        </w:rPr>
        <w:t>。</w:t>
      </w:r>
      <w:r>
        <w:rPr>
          <w:rFonts w:hint="default" w:ascii="Times New Roman" w:hAnsi="Times New Roman"/>
          <w:color w:val="auto"/>
          <w:highlight w:val="none"/>
        </w:rPr>
        <w:t>澄海区深入贯彻落实广东省将“粤菜师傅”工程列为全省职业技能提升行动“十大工程”全面推进的战略部署，将“粤菜师傅（潮菜）”工程作为助推澄海区乡村振兴、带动农户增收致富的重要抓手之一。以“澄海狮头鹅”为招牌特色，上线“狮头鹅电商基地”，打</w:t>
      </w:r>
      <w:r>
        <w:rPr>
          <w:rFonts w:hint="default" w:ascii="Times New Roman" w:hAnsi="Times New Roman"/>
          <w:b w:val="0"/>
          <w:bCs w:val="0"/>
          <w:color w:val="auto"/>
          <w:highlight w:val="none"/>
        </w:rPr>
        <w:t>造了“粤菜师傅+电商”产训合作联盟，多方合作开展“粤菜师傅+电商”技能培训和粤菜餐饮服务线上运营合作。成功制定《潮汕卤鹅制作专项职业能力》《潮式风味菜烹饪》《潮式风味点心制作》《潮式卤味制作》4个工种的考核规范和试题研发。</w:t>
      </w:r>
      <w:r>
        <w:rPr>
          <w:rFonts w:hint="default" w:ascii="Times New Roman" w:hAnsi="Times New Roman"/>
          <w:color w:val="auto"/>
          <w:highlight w:val="none"/>
        </w:rPr>
        <w:t>其中，《潮汕卤鹅制作专项职业能力》项目已经国家人力资源和社会保障部批准，项目的考核规范和考核卷库已审定通过并纳入广东省人社厅职业技能提升免费培训范畴，目前已</w:t>
      </w:r>
      <w:r>
        <w:rPr>
          <w:rFonts w:hint="default" w:ascii="Times New Roman" w:hAnsi="Times New Roman"/>
          <w:b w:val="0"/>
          <w:bCs w:val="0"/>
          <w:color w:val="auto"/>
          <w:highlight w:val="none"/>
        </w:rPr>
        <w:t>有5062人获得相应专项证书</w:t>
      </w:r>
      <w:r>
        <w:rPr>
          <w:rFonts w:hint="default" w:ascii="Times New Roman" w:hAnsi="Times New Roman"/>
          <w:color w:val="auto"/>
          <w:highlight w:val="none"/>
        </w:rPr>
        <w:t>。随着汕头市多项潮菜烹饪技能培训如火如荼开展，“粤菜师傅”（潮菜）工程至今已建有</w:t>
      </w:r>
      <w:r>
        <w:rPr>
          <w:rFonts w:hint="default" w:ascii="Times New Roman" w:hAnsi="Times New Roman"/>
          <w:b w:val="0"/>
          <w:bCs w:val="0"/>
          <w:color w:val="auto"/>
          <w:highlight w:val="none"/>
        </w:rPr>
        <w:t>10个粤菜师傅</w:t>
      </w:r>
      <w:r>
        <w:rPr>
          <w:rFonts w:hint="eastAsia" w:ascii="Times New Roman" w:hAnsi="Times New Roman"/>
          <w:b w:val="0"/>
          <w:bCs w:val="0"/>
          <w:color w:val="auto"/>
          <w:highlight w:val="none"/>
          <w:lang w:eastAsia="zh-CN"/>
        </w:rPr>
        <w:t>（</w:t>
      </w:r>
      <w:r>
        <w:rPr>
          <w:rFonts w:hint="default" w:ascii="Times New Roman" w:hAnsi="Times New Roman"/>
          <w:b w:val="0"/>
          <w:bCs w:val="0"/>
          <w:color w:val="auto"/>
          <w:highlight w:val="none"/>
        </w:rPr>
        <w:t>潮菜</w:t>
      </w:r>
      <w:r>
        <w:rPr>
          <w:rFonts w:hint="eastAsia" w:ascii="Times New Roman" w:hAnsi="Times New Roman"/>
          <w:b w:val="0"/>
          <w:bCs w:val="0"/>
          <w:color w:val="auto"/>
          <w:highlight w:val="none"/>
          <w:lang w:eastAsia="zh-CN"/>
        </w:rPr>
        <w:t>）</w:t>
      </w:r>
      <w:r>
        <w:rPr>
          <w:rFonts w:hint="default" w:ascii="Times New Roman" w:hAnsi="Times New Roman"/>
          <w:b w:val="0"/>
          <w:bCs w:val="0"/>
          <w:color w:val="auto"/>
          <w:highlight w:val="none"/>
        </w:rPr>
        <w:t>乡村实训基地</w:t>
      </w:r>
      <w:r>
        <w:rPr>
          <w:rFonts w:hint="default" w:ascii="Times New Roman" w:hAnsi="Times New Roman"/>
          <w:color w:val="auto"/>
          <w:highlight w:val="none"/>
        </w:rPr>
        <w:t>、3个乡村技师工作站，共培训4555人，毕业结业学员就业率达91.8%，同时通过开展潮菜师傅“请进来”学制培养、“送上门”短期培训，重点面向有劳动能力脱贫户开展潮菜烹饪技能培训等，直接带动了许多劳动能力脱贫户就业创业，助推乡村振兴发展。</w:t>
      </w:r>
    </w:p>
    <w:p w14:paraId="7FD2F105">
      <w:pPr>
        <w:bidi w:val="0"/>
        <w:rPr>
          <w:rFonts w:hint="default" w:ascii="Times New Roman" w:hAnsi="Times New Roman"/>
          <w:color w:val="auto"/>
          <w:highlight w:val="none"/>
        </w:rPr>
      </w:pPr>
      <w:bookmarkStart w:id="39" w:name="_Toc14313"/>
      <w:r>
        <w:rPr>
          <w:rFonts w:hint="eastAsia" w:ascii="Times New Roman" w:hAnsi="Times New Roman"/>
          <w:b/>
          <w:bCs/>
          <w:color w:val="auto"/>
          <w:highlight w:val="none"/>
          <w:lang w:val="en-US" w:eastAsia="zh-CN"/>
        </w:rPr>
        <w:t>四是</w:t>
      </w:r>
      <w:r>
        <w:rPr>
          <w:rFonts w:hint="default" w:ascii="Times New Roman" w:hAnsi="Times New Roman"/>
          <w:b/>
          <w:bCs/>
          <w:color w:val="auto"/>
          <w:highlight w:val="none"/>
        </w:rPr>
        <w:t>大力吸纳当地农户就近就地就业</w:t>
      </w:r>
      <w:bookmarkEnd w:id="39"/>
      <w:r>
        <w:rPr>
          <w:rFonts w:hint="eastAsia" w:ascii="Times New Roman" w:hAnsi="Times New Roman"/>
          <w:b/>
          <w:bCs/>
          <w:color w:val="auto"/>
          <w:highlight w:val="none"/>
          <w:lang w:eastAsia="zh-CN"/>
        </w:rPr>
        <w:t>。</w:t>
      </w:r>
      <w:r>
        <w:rPr>
          <w:rFonts w:hint="default" w:ascii="Times New Roman" w:hAnsi="Times New Roman"/>
          <w:color w:val="auto"/>
          <w:highlight w:val="none"/>
        </w:rPr>
        <w:t>加强就业推荐服务，组织产业园经营主体对农户采取多形式培训，提供适合养殖、加工物流运输等就业岗位，狮头鹅产业的发展，促进当地农村劳动力就地就近就</w:t>
      </w:r>
      <w:r>
        <w:rPr>
          <w:rFonts w:hint="default" w:ascii="Times New Roman" w:hAnsi="Times New Roman"/>
          <w:b w:val="0"/>
          <w:bCs w:val="0"/>
          <w:color w:val="auto"/>
          <w:highlight w:val="none"/>
        </w:rPr>
        <w:t>业，解决45000多名农村劳动力就业问题，带动农户就业增收。同时，通过搭建“双创”孵化平台，实施农业品牌带动</w:t>
      </w:r>
      <w:r>
        <w:rPr>
          <w:rFonts w:hint="default" w:ascii="Times New Roman" w:hAnsi="Times New Roman"/>
          <w:color w:val="auto"/>
          <w:highlight w:val="none"/>
        </w:rPr>
        <w:t>战略，鼓励大学生、脱贫劳动者、退伍军人等返乡创业就业，带动园区周边企业和农户产品质量及效益的提高。</w:t>
      </w:r>
    </w:p>
    <w:p w14:paraId="45C24C0C">
      <w:pPr>
        <w:bidi w:val="0"/>
        <w:rPr>
          <w:rFonts w:hint="default" w:ascii="Times New Roman" w:hAnsi="Times New Roman"/>
          <w:color w:val="auto"/>
          <w:highlight w:val="none"/>
        </w:rPr>
      </w:pPr>
      <w:bookmarkStart w:id="40" w:name="_Toc23901"/>
      <w:r>
        <w:rPr>
          <w:rFonts w:hint="eastAsia" w:ascii="Times New Roman" w:hAnsi="Times New Roman"/>
          <w:b/>
          <w:bCs/>
          <w:color w:val="auto"/>
          <w:highlight w:val="none"/>
          <w:lang w:val="en-US" w:eastAsia="zh-CN"/>
        </w:rPr>
        <w:t>五是</w:t>
      </w:r>
      <w:r>
        <w:rPr>
          <w:rFonts w:hint="default" w:ascii="Times New Roman" w:hAnsi="Times New Roman"/>
          <w:b/>
          <w:bCs/>
          <w:color w:val="auto"/>
          <w:highlight w:val="none"/>
        </w:rPr>
        <w:t>开展“保底收益+按股分红”的股份合作模式</w:t>
      </w:r>
      <w:bookmarkEnd w:id="40"/>
      <w:r>
        <w:rPr>
          <w:rFonts w:hint="eastAsia" w:ascii="Times New Roman" w:hAnsi="Times New Roman"/>
          <w:b/>
          <w:bCs/>
          <w:color w:val="auto"/>
          <w:highlight w:val="none"/>
          <w:lang w:eastAsia="zh-CN"/>
        </w:rPr>
        <w:t>。</w:t>
      </w:r>
      <w:r>
        <w:rPr>
          <w:rFonts w:hint="default" w:ascii="Times New Roman" w:hAnsi="Times New Roman"/>
          <w:color w:val="auto"/>
          <w:highlight w:val="none"/>
        </w:rPr>
        <w:t>园区规模养殖与订单式农户养殖相结合，通过“公司+合作社/农户”的方式，公司与农户签订采购意向书，保障狮头鹅的安全高效供应。</w:t>
      </w:r>
      <w:r>
        <w:rPr>
          <w:rFonts w:hint="default" w:ascii="Times New Roman" w:hAnsi="Times New Roman"/>
          <w:b w:val="0"/>
          <w:bCs w:val="0"/>
          <w:color w:val="auto"/>
          <w:highlight w:val="none"/>
        </w:rPr>
        <w:t>采取将省级</w:t>
      </w:r>
      <w:r>
        <w:rPr>
          <w:rFonts w:hint="eastAsia" w:ascii="Times New Roman" w:hAnsi="Times New Roman"/>
          <w:b w:val="0"/>
          <w:bCs w:val="0"/>
          <w:color w:val="auto"/>
          <w:highlight w:val="none"/>
          <w:lang w:eastAsia="zh-CN"/>
        </w:rPr>
        <w:t>、</w:t>
      </w:r>
      <w:r>
        <w:rPr>
          <w:rFonts w:hint="eastAsia" w:ascii="Times New Roman" w:hAnsi="Times New Roman"/>
          <w:b w:val="0"/>
          <w:bCs w:val="0"/>
          <w:color w:val="auto"/>
          <w:highlight w:val="none"/>
          <w:lang w:val="en-US" w:eastAsia="zh-CN"/>
        </w:rPr>
        <w:t>市级狮头鹅</w:t>
      </w:r>
      <w:r>
        <w:rPr>
          <w:rFonts w:hint="default" w:ascii="Times New Roman" w:hAnsi="Times New Roman"/>
          <w:b w:val="0"/>
          <w:bCs w:val="0"/>
          <w:color w:val="auto"/>
          <w:highlight w:val="none"/>
        </w:rPr>
        <w:t>产业园财政补助资金中安排5</w:t>
      </w:r>
      <w:r>
        <w:rPr>
          <w:rFonts w:hint="eastAsia" w:ascii="Times New Roman" w:hAnsi="Times New Roman"/>
          <w:b w:val="0"/>
          <w:bCs w:val="0"/>
          <w:color w:val="auto"/>
          <w:highlight w:val="none"/>
          <w:lang w:val="en-US" w:eastAsia="zh-CN"/>
        </w:rPr>
        <w:t>40</w:t>
      </w:r>
      <w:r>
        <w:rPr>
          <w:rFonts w:hint="default" w:ascii="Times New Roman" w:hAnsi="Times New Roman"/>
          <w:b w:val="0"/>
          <w:bCs w:val="0"/>
          <w:color w:val="auto"/>
          <w:highlight w:val="none"/>
        </w:rPr>
        <w:t>万元作为</w:t>
      </w:r>
      <w:r>
        <w:rPr>
          <w:rFonts w:hint="eastAsia" w:ascii="Times New Roman" w:hAnsi="Times New Roman"/>
          <w:b w:val="0"/>
          <w:bCs w:val="0"/>
          <w:color w:val="auto"/>
          <w:highlight w:val="none"/>
          <w:lang w:val="en-US" w:eastAsia="zh-CN"/>
        </w:rPr>
        <w:t>村集体</w:t>
      </w:r>
      <w:r>
        <w:rPr>
          <w:rFonts w:hint="default" w:ascii="Times New Roman" w:hAnsi="Times New Roman"/>
          <w:b w:val="0"/>
          <w:bCs w:val="0"/>
          <w:color w:val="auto"/>
          <w:highlight w:val="none"/>
        </w:rPr>
        <w:t>入股资金的形式入股参建，每年保底分红</w:t>
      </w:r>
      <w:r>
        <w:rPr>
          <w:rFonts w:hint="default" w:ascii="Times New Roman" w:hAnsi="Times New Roman"/>
          <w:color w:val="auto"/>
          <w:highlight w:val="none"/>
        </w:rPr>
        <w:t>；</w:t>
      </w:r>
      <w:r>
        <w:rPr>
          <w:rFonts w:hint="eastAsia" w:ascii="Times New Roman" w:hAnsi="Times New Roman"/>
          <w:color w:val="auto"/>
          <w:highlight w:val="none"/>
          <w:lang w:eastAsia="zh-CN"/>
        </w:rPr>
        <w:t>其他实施</w:t>
      </w:r>
      <w:r>
        <w:rPr>
          <w:rFonts w:hint="default" w:ascii="Times New Roman" w:hAnsi="Times New Roman"/>
          <w:color w:val="auto"/>
          <w:highlight w:val="none"/>
        </w:rPr>
        <w:t>主体以雇用劳工、技术指导、签订合作协议、保底订单等多形式带动当地农户增收。</w:t>
      </w:r>
    </w:p>
    <w:p w14:paraId="4FAA0200">
      <w:pPr>
        <w:pStyle w:val="4"/>
        <w:rPr>
          <w:rFonts w:hint="eastAsia" w:ascii="Times New Roman" w:hAnsi="Times New Roman" w:cs="仿宋_GB2312"/>
          <w:b/>
          <w:bCs w:val="0"/>
          <w:color w:val="auto"/>
          <w:szCs w:val="32"/>
          <w:highlight w:val="none"/>
          <w:lang w:val="en-US" w:eastAsia="zh-CN"/>
        </w:rPr>
      </w:pPr>
      <w:bookmarkStart w:id="41" w:name="_Toc18115"/>
      <w:bookmarkStart w:id="42" w:name="_Toc5703"/>
      <w:bookmarkStart w:id="43" w:name="_Toc9641"/>
      <w:bookmarkStart w:id="44" w:name="_Toc27881"/>
      <w:r>
        <w:rPr>
          <w:rFonts w:hint="eastAsia" w:ascii="Times New Roman" w:hAnsi="Times New Roman" w:eastAsia="仿宋_GB2312" w:cs="仿宋_GB2312"/>
          <w:b/>
          <w:bCs w:val="0"/>
          <w:color w:val="auto"/>
          <w:szCs w:val="32"/>
          <w:highlight w:val="none"/>
          <w:lang w:val="en-US" w:eastAsia="zh-CN"/>
        </w:rPr>
        <w:t>8.</w:t>
      </w:r>
      <w:r>
        <w:rPr>
          <w:rFonts w:hint="eastAsia" w:ascii="Times New Roman" w:hAnsi="Times New Roman" w:cs="仿宋_GB2312"/>
          <w:b/>
          <w:bCs w:val="0"/>
          <w:color w:val="auto"/>
          <w:szCs w:val="32"/>
          <w:highlight w:val="none"/>
          <w:lang w:val="en-US" w:eastAsia="zh-CN"/>
        </w:rPr>
        <w:t>政策支持日益强化</w:t>
      </w:r>
      <w:bookmarkEnd w:id="41"/>
      <w:bookmarkEnd w:id="42"/>
      <w:bookmarkEnd w:id="43"/>
      <w:bookmarkEnd w:id="44"/>
    </w:p>
    <w:p w14:paraId="0944C5F1">
      <w:pPr>
        <w:pageBreakBefore w:val="0"/>
        <w:kinsoku/>
        <w:overflowPunct/>
        <w:topLinePunct w:val="0"/>
        <w:autoSpaceDE/>
        <w:autoSpaceDN/>
        <w:bidi w:val="0"/>
        <w:adjustRightInd/>
        <w:snapToGrid/>
        <w:spacing w:line="590" w:lineRule="exact"/>
        <w:rPr>
          <w:rFonts w:hint="default" w:ascii="Times New Roman" w:hAnsi="Times New Roman"/>
          <w:color w:val="auto"/>
          <w:highlight w:val="none"/>
        </w:rPr>
      </w:pPr>
      <w:r>
        <w:rPr>
          <w:rFonts w:hint="eastAsia" w:ascii="Times New Roman" w:hAnsi="Times New Roman"/>
          <w:color w:val="auto"/>
          <w:highlight w:val="none"/>
          <w:lang w:val="en-US" w:eastAsia="zh-CN"/>
        </w:rPr>
        <w:t>自2018年广东省高标准推进现代农业产业园建设工作以来，澄海区已形成省、市、区三级现代农业产业园政策支持体系，园区优惠政策与狮头鹅产业扶持政策双重叠加，金融、土地、科技创新、人才等资源向产业园区倾斜，全面提升狮头鹅产业园高质量发展要素保障能力，为狮头鹅产业高质量发展提供全方位政策支持保障。</w:t>
      </w:r>
    </w:p>
    <w:p w14:paraId="04F31710">
      <w:pPr>
        <w:bidi w:val="0"/>
        <w:ind w:firstLine="643" w:firstLineChars="200"/>
        <w:rPr>
          <w:rFonts w:hint="default" w:ascii="Times New Roman" w:hAnsi="Times New Roman" w:eastAsia="仿宋_GB2312" w:cs="Times New Roman"/>
          <w:b/>
          <w:color w:val="auto"/>
          <w:sz w:val="32"/>
          <w:highlight w:val="none"/>
        </w:rPr>
      </w:pPr>
      <w:bookmarkStart w:id="45" w:name="_Toc21760"/>
      <w:r>
        <w:rPr>
          <w:rFonts w:hint="eastAsia" w:ascii="Times New Roman" w:hAnsi="Times New Roman"/>
          <w:b/>
          <w:bCs/>
          <w:color w:val="auto"/>
          <w:highlight w:val="none"/>
          <w:lang w:val="en-US" w:eastAsia="zh-CN"/>
        </w:rPr>
        <w:t>一是产业综合支持政策</w:t>
      </w:r>
      <w:bookmarkEnd w:id="45"/>
      <w:r>
        <w:rPr>
          <w:rFonts w:hint="eastAsia" w:ascii="Times New Roman" w:hAnsi="Times New Roman"/>
          <w:b/>
          <w:bCs/>
          <w:color w:val="auto"/>
          <w:highlight w:val="none"/>
          <w:lang w:val="en-US" w:eastAsia="zh-CN"/>
        </w:rPr>
        <w:t>。</w:t>
      </w:r>
      <w:r>
        <w:rPr>
          <w:rFonts w:hint="eastAsia" w:ascii="Times New Roman" w:hAnsi="Times New Roman"/>
          <w:color w:val="auto"/>
          <w:highlight w:val="none"/>
          <w:lang w:val="en-US" w:eastAsia="zh-CN"/>
        </w:rPr>
        <w:t>澄海区深入贯彻</w:t>
      </w:r>
      <w:r>
        <w:rPr>
          <w:rFonts w:hint="default" w:ascii="Times New Roman" w:hAnsi="Times New Roman"/>
          <w:color w:val="auto"/>
          <w:highlight w:val="none"/>
          <w:lang w:val="en-US" w:eastAsia="zh-CN"/>
        </w:rPr>
        <w:t>《广东省人民政府办公厅印发关于支持省级现代农业产业园建设政策措施的通知》</w:t>
      </w:r>
      <w:r>
        <w:rPr>
          <w:rFonts w:hint="eastAsia" w:ascii="Times New Roman" w:hAnsi="Times New Roman"/>
          <w:color w:val="auto"/>
          <w:highlight w:val="none"/>
          <w:lang w:val="en-US" w:eastAsia="zh-CN"/>
        </w:rPr>
        <w:t>（</w:t>
      </w:r>
      <w:r>
        <w:rPr>
          <w:rFonts w:hint="default" w:ascii="Times New Roman" w:hAnsi="Times New Roman"/>
          <w:color w:val="auto"/>
          <w:highlight w:val="none"/>
          <w:lang w:val="en-US" w:eastAsia="zh-CN"/>
        </w:rPr>
        <w:t>粤办函〔2019〕289号</w:t>
      </w:r>
      <w:r>
        <w:rPr>
          <w:rFonts w:hint="eastAsia" w:ascii="Times New Roman" w:hAnsi="Times New Roman"/>
          <w:color w:val="auto"/>
          <w:highlight w:val="none"/>
          <w:lang w:val="en-US" w:eastAsia="zh-CN"/>
        </w:rPr>
        <w:t>）、《澄海区支持省级现代农业产业园建设政策措施》，从加强用地保障、加大财政和金融支持力度、落实税费减免政策、加强流通和品牌建设、加强基础设施建设、优化环境保护措施、加大科技与人才支持力度七个方面给予产业园支持。市、区两级全力推动狮头鹅产业的发展，结合狮头鹅产业实际，制定</w:t>
      </w:r>
      <w:r>
        <w:rPr>
          <w:rFonts w:hint="eastAsia" w:ascii="Times New Roman" w:hAnsi="Times New Roman" w:eastAsia="仿宋_GB2312" w:cs="Times New Roman"/>
          <w:b w:val="0"/>
          <w:bCs/>
          <w:color w:val="auto"/>
          <w:sz w:val="32"/>
          <w:highlight w:val="none"/>
          <w:lang w:val="en-US" w:eastAsia="zh-CN"/>
        </w:rPr>
        <w:t>出台一套完整发展规划与实施方案为狮头鹅产业未来发展指引方向，并为狮头鹅产业发展提供优惠政策。</w:t>
      </w:r>
      <w:r>
        <w:rPr>
          <w:rFonts w:hint="eastAsia" w:ascii="Times New Roman" w:hAnsi="Times New Roman" w:cs="Times New Roman"/>
          <w:b w:val="0"/>
          <w:bCs/>
          <w:color w:val="auto"/>
          <w:sz w:val="32"/>
          <w:highlight w:val="none"/>
          <w:lang w:val="en-US" w:eastAsia="zh-CN"/>
        </w:rPr>
        <w:t>如市级印发《汕头市加快狮头鹅产业发展实施方案》，区级</w:t>
      </w:r>
      <w:r>
        <w:rPr>
          <w:rFonts w:hint="eastAsia" w:ascii="Times New Roman" w:hAnsi="Times New Roman" w:eastAsia="仿宋_GB2312" w:cs="Times New Roman"/>
          <w:b w:val="0"/>
          <w:bCs/>
          <w:color w:val="auto"/>
          <w:sz w:val="32"/>
          <w:highlight w:val="none"/>
          <w:lang w:val="en-US" w:eastAsia="zh-CN"/>
        </w:rPr>
        <w:t>制定出台</w:t>
      </w:r>
      <w:r>
        <w:rPr>
          <w:rFonts w:hint="eastAsia" w:ascii="Times New Roman" w:hAnsi="Times New Roman" w:eastAsia="仿宋_GB2312" w:cs="Times New Roman"/>
          <w:b w:val="0"/>
          <w:bCs/>
          <w:color w:val="auto"/>
          <w:sz w:val="32"/>
          <w:highlight w:val="none"/>
          <w:lang w:eastAsia="zh-CN"/>
        </w:rPr>
        <w:t>《澄海区狮头鹅产业高质量发展规划2023-2027年》</w:t>
      </w:r>
      <w:r>
        <w:rPr>
          <w:rFonts w:ascii="Times New Roman" w:hAnsi="Times New Roman" w:eastAsia="仿宋_GB2312"/>
          <w:b w:val="0"/>
          <w:bCs/>
          <w:color w:val="auto"/>
          <w:sz w:val="32"/>
          <w:szCs w:val="32"/>
          <w:highlight w:val="none"/>
        </w:rPr>
        <w:t>《澄海区狮头鹅</w:t>
      </w:r>
      <w:r>
        <w:rPr>
          <w:rFonts w:hint="eastAsia" w:ascii="Times New Roman" w:hAnsi="Times New Roman" w:eastAsia="仿宋_GB2312"/>
          <w:b w:val="0"/>
          <w:bCs/>
          <w:color w:val="auto"/>
          <w:sz w:val="32"/>
          <w:szCs w:val="32"/>
          <w:highlight w:val="none"/>
          <w:lang w:eastAsia="zh-CN"/>
        </w:rPr>
        <w:t>“</w:t>
      </w:r>
      <w:r>
        <w:rPr>
          <w:rFonts w:ascii="Times New Roman" w:hAnsi="Times New Roman" w:eastAsia="仿宋_GB2312"/>
          <w:b w:val="0"/>
          <w:bCs/>
          <w:color w:val="auto"/>
          <w:sz w:val="32"/>
          <w:szCs w:val="32"/>
          <w:highlight w:val="none"/>
        </w:rPr>
        <w:t>五年百亿</w:t>
      </w:r>
      <w:r>
        <w:rPr>
          <w:rFonts w:hint="eastAsia" w:ascii="Times New Roman" w:hAnsi="Times New Roman" w:eastAsia="仿宋_GB2312"/>
          <w:b w:val="0"/>
          <w:bCs/>
          <w:color w:val="auto"/>
          <w:sz w:val="32"/>
          <w:szCs w:val="32"/>
          <w:highlight w:val="none"/>
          <w:lang w:eastAsia="zh-CN"/>
        </w:rPr>
        <w:t>”</w:t>
      </w:r>
      <w:r>
        <w:rPr>
          <w:rFonts w:ascii="Times New Roman" w:hAnsi="Times New Roman" w:eastAsia="仿宋_GB2312"/>
          <w:b w:val="0"/>
          <w:bCs/>
          <w:color w:val="auto"/>
          <w:sz w:val="32"/>
          <w:szCs w:val="32"/>
          <w:highlight w:val="none"/>
        </w:rPr>
        <w:t>发展行动纲要》《汕头市澄海区关于扶持狮头鹅产业发展的若干措施》</w:t>
      </w:r>
      <w:r>
        <w:rPr>
          <w:rFonts w:hint="eastAsia" w:ascii="Times New Roman" w:hAnsi="Times New Roman" w:eastAsia="仿宋_GB2312"/>
          <w:b w:val="0"/>
          <w:bCs/>
          <w:color w:val="auto"/>
          <w:sz w:val="32"/>
          <w:szCs w:val="32"/>
          <w:highlight w:val="none"/>
          <w:lang w:val="en-US" w:eastAsia="zh-CN"/>
        </w:rPr>
        <w:t>等，</w:t>
      </w:r>
      <w:r>
        <w:rPr>
          <w:rFonts w:hint="eastAsia" w:ascii="Times New Roman" w:hAnsi="Times New Roman" w:eastAsia="仿宋_GB2312"/>
          <w:color w:val="auto"/>
          <w:sz w:val="32"/>
          <w:szCs w:val="32"/>
          <w:highlight w:val="none"/>
          <w:lang w:val="en-US" w:eastAsia="zh-CN"/>
        </w:rPr>
        <w:t>在良种繁育、</w:t>
      </w:r>
      <w:r>
        <w:rPr>
          <w:rFonts w:hint="default" w:ascii="Times New Roman" w:hAnsi="Times New Roman" w:eastAsia="仿宋_GB2312" w:cs="Times New Roman"/>
          <w:color w:val="auto"/>
          <w:sz w:val="32"/>
          <w:highlight w:val="none"/>
        </w:rPr>
        <w:t>实施品牌战略、优化产业布局、拓展产业链条、加强行业管理指导</w:t>
      </w:r>
      <w:r>
        <w:rPr>
          <w:rFonts w:hint="eastAsia" w:ascii="Times New Roman" w:hAnsi="Times New Roman" w:eastAsia="仿宋_GB2312" w:cs="Times New Roman"/>
          <w:color w:val="auto"/>
          <w:sz w:val="32"/>
          <w:highlight w:val="none"/>
          <w:lang w:val="en-US" w:eastAsia="zh-CN"/>
        </w:rPr>
        <w:t>等方面提出具体的建设方向并为各环节建设制定奖励或者优惠措施，</w:t>
      </w:r>
      <w:r>
        <w:rPr>
          <w:rFonts w:hint="eastAsia" w:ascii="Times New Roman" w:hAnsi="Times New Roman" w:eastAsia="仿宋_GB2312"/>
          <w:color w:val="auto"/>
          <w:sz w:val="32"/>
          <w:szCs w:val="32"/>
          <w:highlight w:val="none"/>
          <w:lang w:val="en-US" w:eastAsia="zh-CN"/>
        </w:rPr>
        <w:t>为狮头鹅的产业升级、质量提升和营造良好发展环境创造了</w:t>
      </w:r>
      <w:r>
        <w:rPr>
          <w:rFonts w:hint="eastAsia" w:ascii="Times New Roman" w:hAnsi="Times New Roman"/>
          <w:color w:val="auto"/>
          <w:sz w:val="32"/>
          <w:szCs w:val="32"/>
          <w:highlight w:val="none"/>
          <w:lang w:val="en-US" w:eastAsia="zh-CN"/>
        </w:rPr>
        <w:t>有利的条件</w:t>
      </w:r>
      <w:r>
        <w:rPr>
          <w:rFonts w:hint="eastAsia" w:ascii="Times New Roman" w:hAnsi="Times New Roman" w:eastAsia="仿宋_GB2312"/>
          <w:color w:val="auto"/>
          <w:sz w:val="32"/>
          <w:szCs w:val="32"/>
          <w:highlight w:val="none"/>
          <w:lang w:val="en-US" w:eastAsia="zh-CN"/>
        </w:rPr>
        <w:t>。</w:t>
      </w:r>
    </w:p>
    <w:p w14:paraId="54EDB70F">
      <w:pPr>
        <w:bidi w:val="0"/>
        <w:ind w:firstLine="643" w:firstLineChars="200"/>
        <w:rPr>
          <w:rFonts w:hint="default" w:ascii="Times New Roman" w:hAnsi="Times New Roman"/>
          <w:color w:val="auto"/>
          <w:highlight w:val="none"/>
          <w:lang w:val="en-US" w:eastAsia="zh-CN"/>
        </w:rPr>
      </w:pPr>
      <w:bookmarkStart w:id="46" w:name="_Toc22456"/>
      <w:r>
        <w:rPr>
          <w:rFonts w:hint="eastAsia" w:ascii="Times New Roman" w:hAnsi="Times New Roman"/>
          <w:b/>
          <w:bCs/>
          <w:color w:val="auto"/>
          <w:highlight w:val="none"/>
          <w:lang w:val="en-US" w:eastAsia="zh-CN"/>
        </w:rPr>
        <w:t>二是财政</w:t>
      </w:r>
      <w:r>
        <w:rPr>
          <w:rFonts w:hint="default" w:ascii="Times New Roman" w:hAnsi="Times New Roman"/>
          <w:b/>
          <w:bCs/>
          <w:color w:val="auto"/>
          <w:highlight w:val="none"/>
        </w:rPr>
        <w:t>金融服务</w:t>
      </w:r>
      <w:bookmarkEnd w:id="46"/>
      <w:r>
        <w:rPr>
          <w:rFonts w:hint="eastAsia" w:ascii="Times New Roman" w:hAnsi="Times New Roman"/>
          <w:b/>
          <w:bCs/>
          <w:color w:val="auto"/>
          <w:highlight w:val="none"/>
          <w:lang w:eastAsia="zh-CN"/>
        </w:rPr>
        <w:t>。</w:t>
      </w:r>
      <w:r>
        <w:rPr>
          <w:rFonts w:hint="eastAsia" w:ascii="Times New Roman" w:hAnsi="Times New Roman"/>
          <w:b w:val="0"/>
          <w:bCs w:val="0"/>
          <w:color w:val="auto"/>
          <w:highlight w:val="none"/>
          <w:lang w:val="en-US" w:eastAsia="zh-CN"/>
        </w:rPr>
        <w:t>出台广东唯一鹅养殖地方特色险</w:t>
      </w:r>
      <w:r>
        <w:rPr>
          <w:rFonts w:hint="eastAsia" w:ascii="Times New Roman" w:hAnsi="Times New Roman"/>
          <w:color w:val="auto"/>
          <w:highlight w:val="none"/>
          <w:lang w:val="en-US" w:eastAsia="zh-CN"/>
        </w:rPr>
        <w:t>，成功构建“市+区+产业协会”三级狮头鹅金融服务体系，</w:t>
      </w:r>
      <w:r>
        <w:rPr>
          <w:rFonts w:hint="eastAsia" w:ascii="Times New Roman" w:hAnsi="Times New Roman"/>
          <w:b/>
          <w:bCs/>
          <w:color w:val="auto"/>
          <w:highlight w:val="none"/>
          <w:lang w:val="en-US" w:eastAsia="zh-CN"/>
        </w:rPr>
        <w:t>在市级层面，</w:t>
      </w:r>
      <w:r>
        <w:rPr>
          <w:rFonts w:hint="eastAsia" w:ascii="Times New Roman" w:hAnsi="Times New Roman"/>
          <w:color w:val="auto"/>
          <w:highlight w:val="none"/>
          <w:lang w:val="en-US" w:eastAsia="zh-CN"/>
        </w:rPr>
        <w:t>制定出台</w:t>
      </w:r>
      <w:r>
        <w:rPr>
          <w:rFonts w:hint="eastAsia" w:ascii="Times New Roman" w:hAnsi="Times New Roman"/>
          <w:b w:val="0"/>
          <w:bCs w:val="0"/>
          <w:color w:val="auto"/>
          <w:highlight w:val="none"/>
          <w:lang w:val="en-US" w:eastAsia="zh-CN"/>
        </w:rPr>
        <w:t>《汕头市政策性地方特色险种—狮头鹅养殖保险实施方案》</w:t>
      </w:r>
      <w:r>
        <w:rPr>
          <w:rFonts w:hint="eastAsia" w:ascii="Times New Roman" w:hAnsi="Times New Roman"/>
          <w:color w:val="auto"/>
          <w:highlight w:val="none"/>
          <w:lang w:val="en-US" w:eastAsia="zh-CN"/>
        </w:rPr>
        <w:t>，建立了由政府、养殖户、保险公司共同参与的狮头鹅养殖风险分担机制，狮头鹅养殖保险费用构成为省级35%，市级20%，区级20%，农户自交25%，减少农户投保压力。印发实施</w:t>
      </w:r>
      <w:r>
        <w:rPr>
          <w:rFonts w:hint="eastAsia" w:ascii="Times New Roman" w:hAnsi="Times New Roman"/>
          <w:b w:val="0"/>
          <w:bCs w:val="0"/>
          <w:color w:val="auto"/>
          <w:highlight w:val="none"/>
          <w:lang w:val="en-US" w:eastAsia="zh-CN"/>
        </w:rPr>
        <w:t>《汕头市信用村“整村授信”专项行动工作方案》，</w:t>
      </w:r>
      <w:r>
        <w:rPr>
          <w:rFonts w:hint="eastAsia" w:ascii="Times New Roman" w:hAnsi="Times New Roman"/>
          <w:color w:val="auto"/>
          <w:highlight w:val="none"/>
          <w:lang w:val="en-US" w:eastAsia="zh-CN"/>
        </w:rPr>
        <w:t>持续深化“信用村镇”建设及“整村授信”工作开展，推动实现农户小额信用贷款建档预授信全覆盖，汕头辖内现有信用村507个，银行机构已为120村整村授信3.23亿元。</w:t>
      </w:r>
      <w:r>
        <w:rPr>
          <w:rFonts w:hint="eastAsia" w:ascii="Times New Roman" w:hAnsi="Times New Roman"/>
          <w:b w:val="0"/>
          <w:bCs w:val="0"/>
          <w:color w:val="auto"/>
          <w:highlight w:val="none"/>
          <w:lang w:val="en-US" w:eastAsia="zh-CN"/>
        </w:rPr>
        <w:t>设立乡村振兴金融服务站，</w:t>
      </w:r>
      <w:r>
        <w:rPr>
          <w:rFonts w:hint="eastAsia" w:ascii="Times New Roman" w:hAnsi="Times New Roman"/>
          <w:color w:val="auto"/>
          <w:highlight w:val="none"/>
          <w:lang w:val="en-US" w:eastAsia="zh-CN"/>
        </w:rPr>
        <w:t>全市4家农商银行共投放政务机1089台，实现全市行政村（居）投放全覆盖，派驻599名“乡村金融特派员”。</w:t>
      </w:r>
      <w:r>
        <w:rPr>
          <w:rFonts w:hint="eastAsia" w:ascii="Times New Roman" w:hAnsi="Times New Roman"/>
          <w:b/>
          <w:bCs/>
          <w:color w:val="auto"/>
          <w:highlight w:val="none"/>
          <w:lang w:val="en-US" w:eastAsia="zh-CN"/>
        </w:rPr>
        <w:t>区级层面，</w:t>
      </w:r>
      <w:r>
        <w:rPr>
          <w:rFonts w:hint="default" w:ascii="Times New Roman" w:hAnsi="Times New Roman"/>
          <w:color w:val="auto"/>
          <w:highlight w:val="none"/>
        </w:rPr>
        <w:t>印发</w:t>
      </w:r>
      <w:r>
        <w:rPr>
          <w:rFonts w:hint="default" w:ascii="Times New Roman" w:hAnsi="Times New Roman"/>
          <w:b w:val="0"/>
          <w:bCs w:val="0"/>
          <w:color w:val="auto"/>
          <w:highlight w:val="none"/>
        </w:rPr>
        <w:t>《澄海区“政银保”合作农业贷款实施办法》</w:t>
      </w:r>
      <w:r>
        <w:rPr>
          <w:rFonts w:hint="default" w:ascii="Times New Roman" w:hAnsi="Times New Roman"/>
          <w:color w:val="auto"/>
          <w:highlight w:val="none"/>
        </w:rPr>
        <w:t>，设立专项资金900万元用于全面推进澄海区现代农业发展。</w:t>
      </w:r>
      <w:r>
        <w:rPr>
          <w:rFonts w:hint="eastAsia" w:ascii="Times New Roman" w:hAnsi="Times New Roman"/>
          <w:color w:val="auto"/>
          <w:highlight w:val="none"/>
          <w:lang w:val="en-US" w:eastAsia="zh-CN"/>
        </w:rPr>
        <w:t>同时，</w:t>
      </w:r>
      <w:r>
        <w:rPr>
          <w:rFonts w:hint="default" w:ascii="Times New Roman" w:hAnsi="Times New Roman"/>
          <w:color w:val="auto"/>
          <w:highlight w:val="none"/>
        </w:rPr>
        <w:t>创新制定全国首个狮头鹅活体抵押贷款模式，通过科技手段引入“畜禽身份证”，实现DNA级一鹅一码溯源，保证禽类活体与信息记录一一对应，从根源上解决了禽类活体个体小、价格低、易转移等活体抵押难题。2021年，汕头市狮鹅王种养专业合作社以6000只狮头鹅作为抵押物，从民生银行汕头分行成功获得100万元贷款，标志着肉鹅活体贷款正式生效。目前澄海区正积极推进狮头鹅农业保险，已基本敲定方案并付诸实施。</w:t>
      </w:r>
      <w:r>
        <w:rPr>
          <w:rFonts w:hint="eastAsia" w:ascii="Times New Roman" w:hAnsi="Times New Roman"/>
          <w:b/>
          <w:bCs/>
          <w:color w:val="auto"/>
          <w:highlight w:val="none"/>
          <w:lang w:val="en-US" w:eastAsia="zh-CN"/>
        </w:rPr>
        <w:t>协会层面，</w:t>
      </w:r>
      <w:r>
        <w:rPr>
          <w:rFonts w:hint="eastAsia" w:ascii="Times New Roman" w:hAnsi="Times New Roman"/>
          <w:color w:val="auto"/>
          <w:highlight w:val="none"/>
          <w:lang w:val="en-US" w:eastAsia="zh-CN"/>
        </w:rPr>
        <w:t>汕头市狮头鹅产业协会联合中国农业银行汕头分行、广东澄海农村商业银行股份有限公司设立狮头鹅专项贷款，手续简便、贷款利率低。且中国建设银行汕头分行为协会会员单位，针对狮头鹅养殖农户资金周转问题，特别制定会员专属贷款产品。</w:t>
      </w:r>
    </w:p>
    <w:p w14:paraId="03B4E9BE">
      <w:pPr>
        <w:bidi w:val="0"/>
        <w:ind w:firstLine="643" w:firstLineChars="200"/>
        <w:rPr>
          <w:rFonts w:hint="default" w:ascii="Times New Roman" w:hAnsi="Times New Roman"/>
          <w:b/>
          <w:bCs/>
          <w:color w:val="auto"/>
          <w:highlight w:val="none"/>
        </w:rPr>
      </w:pPr>
      <w:bookmarkStart w:id="47" w:name="_Toc24839"/>
      <w:r>
        <w:rPr>
          <w:rFonts w:hint="eastAsia" w:ascii="Times New Roman" w:hAnsi="Times New Roman"/>
          <w:b/>
          <w:bCs/>
          <w:color w:val="auto"/>
          <w:highlight w:val="none"/>
          <w:lang w:val="en-US" w:eastAsia="zh-CN"/>
        </w:rPr>
        <w:t>三是</w:t>
      </w:r>
      <w:r>
        <w:rPr>
          <w:rFonts w:hint="default" w:ascii="Times New Roman" w:hAnsi="Times New Roman"/>
          <w:b/>
          <w:bCs/>
          <w:color w:val="auto"/>
          <w:highlight w:val="none"/>
        </w:rPr>
        <w:t>土地政策</w:t>
      </w:r>
      <w:bookmarkEnd w:id="47"/>
      <w:r>
        <w:rPr>
          <w:rFonts w:hint="eastAsia" w:ascii="Times New Roman" w:hAnsi="Times New Roman"/>
          <w:b/>
          <w:bCs/>
          <w:color w:val="auto"/>
          <w:highlight w:val="none"/>
          <w:lang w:eastAsia="zh-CN"/>
        </w:rPr>
        <w:t>。</w:t>
      </w:r>
      <w:r>
        <w:rPr>
          <w:rFonts w:hint="eastAsia" w:ascii="Times New Roman" w:hAnsi="Times New Roman"/>
          <w:b w:val="0"/>
          <w:bCs w:val="0"/>
          <w:color w:val="auto"/>
          <w:highlight w:val="none"/>
          <w:lang w:val="en-US" w:eastAsia="zh-CN"/>
        </w:rPr>
        <w:t>产业园深入贯彻落实《汕头市经济特区乡村振兴实施条例》，狮头鹅养殖设施用地在符合国家、省规定的用地范围和规模标准前提下，经用地备案并按要求上图入库后，纳入设施农业用地管理，不需办理农用地转用审批手续。2017年，澄海区印发实施《汕头市澄海区推进农业供给侧结构性改革工作方案》，明确强化农业农村发展用地保障，完善土地市场化配置机制，完成基准地价更新及产业用地地价标准制订，实施产业用地弹性年限出让、租让结合等多种供应方式，主动对接我区产业用地新需求，保障新产业新业态项目优先落地。2019年，实施《中共汕头市澄海区委 汕头市澄海区人民政府关于推进乡村振兴战略的实施意见》，要求每年安排不少于10%的用地指标，保障乡村振兴新增建设用地需求，逐步提高农业设施用地指标比例，优先保障农业产业园、科技园、创业园、助农服务综合平台和镇村助农服务中心建设用地安排。2023年进一步强化产业园用地保障，将建设用地纳入预留城乡建设用地规模的使用范畴，在符合国土空间规划（村庄规划）的前提下，明确建设用地新增指标向农业产业园倾斜，采取点状供地模式支持农业产业园建设</w:t>
      </w:r>
      <w:r>
        <w:rPr>
          <w:rFonts w:hint="default" w:ascii="Times New Roman" w:hAnsi="Times New Roman"/>
          <w:color w:val="auto"/>
          <w:highlight w:val="none"/>
        </w:rPr>
        <w:t>。</w:t>
      </w:r>
      <w:r>
        <w:rPr>
          <w:rFonts w:hint="default" w:ascii="Times New Roman" w:hAnsi="Times New Roman"/>
          <w:b w:val="0"/>
          <w:bCs w:val="0"/>
          <w:color w:val="auto"/>
          <w:highlight w:val="none"/>
        </w:rPr>
        <w:t>截至202</w:t>
      </w:r>
      <w:r>
        <w:rPr>
          <w:rFonts w:hint="eastAsia" w:ascii="Times New Roman" w:hAnsi="Times New Roman"/>
          <w:b w:val="0"/>
          <w:bCs w:val="0"/>
          <w:color w:val="auto"/>
          <w:highlight w:val="none"/>
          <w:lang w:val="en-US" w:eastAsia="zh-CN"/>
        </w:rPr>
        <w:t>3</w:t>
      </w:r>
      <w:r>
        <w:rPr>
          <w:rFonts w:hint="default" w:ascii="Times New Roman" w:hAnsi="Times New Roman"/>
          <w:b w:val="0"/>
          <w:bCs w:val="0"/>
          <w:color w:val="auto"/>
          <w:highlight w:val="none"/>
        </w:rPr>
        <w:t>年底共落实建设用地</w:t>
      </w:r>
      <w:r>
        <w:rPr>
          <w:rFonts w:hint="eastAsia" w:ascii="Times New Roman" w:hAnsi="Times New Roman"/>
          <w:b w:val="0"/>
          <w:bCs w:val="0"/>
          <w:color w:val="auto"/>
          <w:highlight w:val="none"/>
          <w:lang w:val="en-US" w:eastAsia="zh-CN"/>
        </w:rPr>
        <w:t>157.48</w:t>
      </w:r>
      <w:r>
        <w:rPr>
          <w:rFonts w:hint="default" w:ascii="Times New Roman" w:hAnsi="Times New Roman"/>
          <w:b w:val="0"/>
          <w:bCs w:val="0"/>
          <w:color w:val="auto"/>
          <w:highlight w:val="none"/>
        </w:rPr>
        <w:t>亩，满足项目建设用地的需求。</w:t>
      </w:r>
    </w:p>
    <w:tbl>
      <w:tblPr>
        <w:tblStyle w:val="24"/>
        <w:tblW w:w="0" w:type="auto"/>
        <w:tblInd w:w="0" w:type="dxa"/>
        <w:tblLayout w:type="fixed"/>
        <w:tblCellMar>
          <w:top w:w="0" w:type="dxa"/>
          <w:left w:w="108" w:type="dxa"/>
          <w:bottom w:w="0" w:type="dxa"/>
          <w:right w:w="108" w:type="dxa"/>
        </w:tblCellMar>
      </w:tblPr>
      <w:tblGrid>
        <w:gridCol w:w="469"/>
        <w:gridCol w:w="1847"/>
        <w:gridCol w:w="927"/>
        <w:gridCol w:w="1279"/>
        <w:gridCol w:w="2275"/>
        <w:gridCol w:w="672"/>
        <w:gridCol w:w="1051"/>
      </w:tblGrid>
      <w:tr w14:paraId="36539E2A">
        <w:tblPrEx>
          <w:tblCellMar>
            <w:top w:w="0" w:type="dxa"/>
            <w:left w:w="108" w:type="dxa"/>
            <w:bottom w:w="0" w:type="dxa"/>
            <w:right w:w="108" w:type="dxa"/>
          </w:tblCellMar>
        </w:tblPrEx>
        <w:trPr>
          <w:trHeight w:val="624" w:hRule="atLeast"/>
        </w:trPr>
        <w:tc>
          <w:tcPr>
            <w:tcW w:w="8520" w:type="dxa"/>
            <w:gridSpan w:val="7"/>
            <w:vMerge w:val="restart"/>
            <w:tcBorders>
              <w:top w:val="nil"/>
              <w:left w:val="nil"/>
              <w:bottom w:val="single" w:color="000000" w:sz="4" w:space="0"/>
              <w:right w:val="nil"/>
            </w:tcBorders>
            <w:vAlign w:val="center"/>
          </w:tcPr>
          <w:p w14:paraId="4A5A32BF">
            <w:pPr>
              <w:widowControl/>
              <w:spacing w:line="240" w:lineRule="auto"/>
              <w:ind w:firstLine="0" w:firstLineChars="0"/>
              <w:jc w:val="center"/>
              <w:textAlignment w:val="center"/>
              <w:rPr>
                <w:rFonts w:hint="default" w:ascii="Times New Roman" w:hAnsi="Times New Roman" w:eastAsia="黑体" w:cs="Times New Roman"/>
                <w:b/>
                <w:bCs/>
                <w:color w:val="auto"/>
                <w:sz w:val="28"/>
                <w:szCs w:val="28"/>
                <w:highlight w:val="none"/>
              </w:rPr>
            </w:pPr>
            <w:r>
              <w:rPr>
                <w:rFonts w:hint="default" w:ascii="Times New Roman" w:hAnsi="Times New Roman" w:eastAsia="黑体" w:cs="Times New Roman"/>
                <w:b w:val="0"/>
                <w:bCs w:val="0"/>
                <w:color w:val="auto"/>
                <w:kern w:val="0"/>
                <w:sz w:val="28"/>
                <w:szCs w:val="28"/>
                <w:highlight w:val="none"/>
              </w:rPr>
              <w:t>广东省</w:t>
            </w:r>
            <w:r>
              <w:rPr>
                <w:rFonts w:hint="eastAsia" w:ascii="Times New Roman" w:hAnsi="Times New Roman" w:eastAsia="黑体" w:cs="Times New Roman"/>
                <w:b w:val="0"/>
                <w:bCs w:val="0"/>
                <w:color w:val="auto"/>
                <w:kern w:val="0"/>
                <w:sz w:val="28"/>
                <w:szCs w:val="28"/>
                <w:highlight w:val="none"/>
                <w:lang w:val="en-US" w:eastAsia="zh-CN"/>
              </w:rPr>
              <w:t>汕头市</w:t>
            </w:r>
            <w:r>
              <w:rPr>
                <w:rFonts w:hint="default" w:ascii="Times New Roman" w:hAnsi="Times New Roman" w:eastAsia="黑体" w:cs="Times New Roman"/>
                <w:b w:val="0"/>
                <w:bCs w:val="0"/>
                <w:color w:val="auto"/>
                <w:kern w:val="0"/>
                <w:sz w:val="28"/>
                <w:szCs w:val="28"/>
                <w:highlight w:val="none"/>
              </w:rPr>
              <w:t>澄海区</w:t>
            </w:r>
            <w:r>
              <w:rPr>
                <w:rFonts w:hint="eastAsia" w:ascii="Times New Roman" w:hAnsi="Times New Roman" w:eastAsia="黑体" w:cs="Times New Roman"/>
                <w:b w:val="0"/>
                <w:bCs w:val="0"/>
                <w:color w:val="auto"/>
                <w:kern w:val="0"/>
                <w:sz w:val="28"/>
                <w:szCs w:val="28"/>
                <w:highlight w:val="none"/>
                <w:lang w:val="en-US" w:eastAsia="zh-CN"/>
              </w:rPr>
              <w:t>国家</w:t>
            </w:r>
            <w:r>
              <w:rPr>
                <w:rFonts w:hint="default" w:ascii="Times New Roman" w:hAnsi="Times New Roman" w:eastAsia="黑体" w:cs="Times New Roman"/>
                <w:b w:val="0"/>
                <w:bCs w:val="0"/>
                <w:color w:val="auto"/>
                <w:kern w:val="0"/>
                <w:sz w:val="28"/>
                <w:szCs w:val="28"/>
                <w:highlight w:val="none"/>
              </w:rPr>
              <w:t>现代农业产业园建设用地汇总表</w:t>
            </w:r>
          </w:p>
        </w:tc>
      </w:tr>
      <w:tr w14:paraId="01A7065E">
        <w:tblPrEx>
          <w:tblCellMar>
            <w:top w:w="0" w:type="dxa"/>
            <w:left w:w="108" w:type="dxa"/>
            <w:bottom w:w="0" w:type="dxa"/>
            <w:right w:w="108" w:type="dxa"/>
          </w:tblCellMar>
        </w:tblPrEx>
        <w:trPr>
          <w:trHeight w:val="624" w:hRule="atLeast"/>
        </w:trPr>
        <w:tc>
          <w:tcPr>
            <w:tcW w:w="8520" w:type="dxa"/>
            <w:gridSpan w:val="7"/>
            <w:vMerge w:val="continue"/>
            <w:tcBorders>
              <w:top w:val="single" w:color="000000" w:sz="4" w:space="0"/>
              <w:left w:val="nil"/>
              <w:bottom w:val="single" w:color="000000" w:sz="4" w:space="0"/>
              <w:right w:val="nil"/>
            </w:tcBorders>
            <w:vAlign w:val="center"/>
          </w:tcPr>
          <w:p w14:paraId="708BF001">
            <w:pPr>
              <w:spacing w:line="240" w:lineRule="auto"/>
              <w:ind w:firstLine="0" w:firstLineChars="0"/>
              <w:jc w:val="center"/>
              <w:rPr>
                <w:rFonts w:hint="default" w:ascii="Times New Roman" w:hAnsi="Times New Roman" w:eastAsia="黑体" w:cs="Times New Roman"/>
                <w:b/>
                <w:bCs/>
                <w:color w:val="auto"/>
                <w:sz w:val="28"/>
                <w:szCs w:val="28"/>
                <w:highlight w:val="none"/>
              </w:rPr>
            </w:pPr>
          </w:p>
        </w:tc>
      </w:tr>
      <w:tr w14:paraId="1067B06D">
        <w:tblPrEx>
          <w:tblCellMar>
            <w:top w:w="0" w:type="dxa"/>
            <w:left w:w="108" w:type="dxa"/>
            <w:bottom w:w="0" w:type="dxa"/>
            <w:right w:w="108" w:type="dxa"/>
          </w:tblCellMar>
        </w:tblPrEx>
        <w:trPr>
          <w:trHeight w:val="788" w:hRule="atLeast"/>
        </w:trPr>
        <w:tc>
          <w:tcPr>
            <w:tcW w:w="469" w:type="dxa"/>
            <w:tcBorders>
              <w:top w:val="single" w:color="000000" w:sz="4" w:space="0"/>
              <w:left w:val="single" w:color="000000" w:sz="4" w:space="0"/>
              <w:bottom w:val="single" w:color="000000" w:sz="4" w:space="0"/>
              <w:right w:val="single" w:color="000000" w:sz="4" w:space="0"/>
            </w:tcBorders>
            <w:vAlign w:val="center"/>
          </w:tcPr>
          <w:p w14:paraId="7DBB5819">
            <w:pPr>
              <w:widowControl/>
              <w:spacing w:line="240" w:lineRule="auto"/>
              <w:ind w:firstLine="0" w:firstLineChars="0"/>
              <w:jc w:val="center"/>
              <w:textAlignment w:val="center"/>
              <w:rPr>
                <w:rFonts w:hint="default" w:ascii="Times New Roman" w:hAnsi="Times New Roman" w:eastAsia="黑体" w:cs="Times New Roman"/>
                <w:b/>
                <w:bCs/>
                <w:color w:val="auto"/>
                <w:sz w:val="21"/>
                <w:szCs w:val="21"/>
                <w:highlight w:val="none"/>
              </w:rPr>
            </w:pPr>
            <w:r>
              <w:rPr>
                <w:rFonts w:hint="default" w:ascii="Times New Roman" w:hAnsi="Times New Roman" w:eastAsia="黑体" w:cs="Times New Roman"/>
                <w:b/>
                <w:bCs/>
                <w:color w:val="auto"/>
                <w:kern w:val="0"/>
                <w:sz w:val="21"/>
                <w:szCs w:val="21"/>
                <w:highlight w:val="none"/>
              </w:rPr>
              <w:t>序号</w:t>
            </w:r>
          </w:p>
        </w:tc>
        <w:tc>
          <w:tcPr>
            <w:tcW w:w="1847" w:type="dxa"/>
            <w:tcBorders>
              <w:top w:val="single" w:color="000000" w:sz="4" w:space="0"/>
              <w:left w:val="single" w:color="000000" w:sz="4" w:space="0"/>
              <w:bottom w:val="single" w:color="000000" w:sz="4" w:space="0"/>
              <w:right w:val="single" w:color="000000" w:sz="4" w:space="0"/>
            </w:tcBorders>
            <w:vAlign w:val="center"/>
          </w:tcPr>
          <w:p w14:paraId="5554A636">
            <w:pPr>
              <w:widowControl/>
              <w:spacing w:line="240" w:lineRule="auto"/>
              <w:ind w:firstLine="0" w:firstLineChars="0"/>
              <w:jc w:val="center"/>
              <w:textAlignment w:val="center"/>
              <w:rPr>
                <w:rFonts w:hint="default" w:ascii="Times New Roman" w:hAnsi="Times New Roman" w:eastAsia="黑体" w:cs="Times New Roman"/>
                <w:b/>
                <w:bCs/>
                <w:color w:val="auto"/>
                <w:sz w:val="21"/>
                <w:szCs w:val="21"/>
                <w:highlight w:val="none"/>
              </w:rPr>
            </w:pPr>
            <w:r>
              <w:rPr>
                <w:rFonts w:hint="default" w:ascii="Times New Roman" w:hAnsi="Times New Roman" w:eastAsia="黑体" w:cs="Times New Roman"/>
                <w:b/>
                <w:bCs/>
                <w:color w:val="auto"/>
                <w:kern w:val="0"/>
                <w:sz w:val="21"/>
                <w:szCs w:val="21"/>
                <w:highlight w:val="none"/>
              </w:rPr>
              <w:t>位置</w:t>
            </w:r>
          </w:p>
        </w:tc>
        <w:tc>
          <w:tcPr>
            <w:tcW w:w="927" w:type="dxa"/>
            <w:tcBorders>
              <w:top w:val="single" w:color="000000" w:sz="4" w:space="0"/>
              <w:left w:val="single" w:color="000000" w:sz="4" w:space="0"/>
              <w:bottom w:val="single" w:color="000000" w:sz="4" w:space="0"/>
              <w:right w:val="single" w:color="000000" w:sz="4" w:space="0"/>
            </w:tcBorders>
            <w:vAlign w:val="center"/>
          </w:tcPr>
          <w:p w14:paraId="26BEE055">
            <w:pPr>
              <w:widowControl/>
              <w:spacing w:line="240" w:lineRule="auto"/>
              <w:ind w:firstLine="0" w:firstLineChars="0"/>
              <w:jc w:val="center"/>
              <w:textAlignment w:val="center"/>
              <w:rPr>
                <w:rFonts w:hint="default" w:ascii="Times New Roman" w:hAnsi="Times New Roman" w:eastAsia="黑体" w:cs="Times New Roman"/>
                <w:b/>
                <w:bCs/>
                <w:color w:val="auto"/>
                <w:sz w:val="21"/>
                <w:szCs w:val="21"/>
                <w:highlight w:val="none"/>
              </w:rPr>
            </w:pPr>
            <w:r>
              <w:rPr>
                <w:rFonts w:hint="default" w:ascii="Times New Roman" w:hAnsi="Times New Roman" w:eastAsia="黑体" w:cs="Times New Roman"/>
                <w:b/>
                <w:bCs/>
                <w:color w:val="auto"/>
                <w:kern w:val="0"/>
                <w:sz w:val="21"/>
                <w:szCs w:val="21"/>
                <w:highlight w:val="none"/>
              </w:rPr>
              <w:t>占地面积（亩）</w:t>
            </w:r>
          </w:p>
        </w:tc>
        <w:tc>
          <w:tcPr>
            <w:tcW w:w="1279" w:type="dxa"/>
            <w:tcBorders>
              <w:top w:val="single" w:color="000000" w:sz="4" w:space="0"/>
              <w:left w:val="single" w:color="000000" w:sz="4" w:space="0"/>
              <w:bottom w:val="single" w:color="000000" w:sz="4" w:space="0"/>
              <w:right w:val="single" w:color="000000" w:sz="4" w:space="0"/>
            </w:tcBorders>
            <w:vAlign w:val="center"/>
          </w:tcPr>
          <w:p w14:paraId="57AA4B07">
            <w:pPr>
              <w:widowControl/>
              <w:spacing w:line="240" w:lineRule="auto"/>
              <w:ind w:firstLine="0" w:firstLineChars="0"/>
              <w:jc w:val="center"/>
              <w:textAlignment w:val="center"/>
              <w:rPr>
                <w:rFonts w:hint="default" w:ascii="Times New Roman" w:hAnsi="Times New Roman" w:eastAsia="黑体" w:cs="Times New Roman"/>
                <w:b/>
                <w:bCs/>
                <w:color w:val="auto"/>
                <w:sz w:val="21"/>
                <w:szCs w:val="21"/>
                <w:highlight w:val="none"/>
              </w:rPr>
            </w:pPr>
            <w:r>
              <w:rPr>
                <w:rFonts w:hint="default" w:ascii="Times New Roman" w:hAnsi="Times New Roman" w:eastAsia="黑体" w:cs="Times New Roman"/>
                <w:b/>
                <w:bCs/>
                <w:color w:val="auto"/>
                <w:kern w:val="0"/>
                <w:sz w:val="21"/>
                <w:szCs w:val="21"/>
                <w:highlight w:val="none"/>
              </w:rPr>
              <w:t>用途</w:t>
            </w:r>
          </w:p>
        </w:tc>
        <w:tc>
          <w:tcPr>
            <w:tcW w:w="2275" w:type="dxa"/>
            <w:tcBorders>
              <w:top w:val="single" w:color="000000" w:sz="4" w:space="0"/>
              <w:left w:val="single" w:color="000000" w:sz="4" w:space="0"/>
              <w:bottom w:val="single" w:color="000000" w:sz="4" w:space="0"/>
              <w:right w:val="single" w:color="000000" w:sz="4" w:space="0"/>
            </w:tcBorders>
            <w:vAlign w:val="center"/>
          </w:tcPr>
          <w:p w14:paraId="769AF575">
            <w:pPr>
              <w:widowControl/>
              <w:spacing w:line="240" w:lineRule="auto"/>
              <w:ind w:firstLine="0" w:firstLineChars="0"/>
              <w:jc w:val="center"/>
              <w:textAlignment w:val="center"/>
              <w:rPr>
                <w:rFonts w:hint="default" w:ascii="Times New Roman" w:hAnsi="Times New Roman" w:eastAsia="黑体" w:cs="Times New Roman"/>
                <w:b/>
                <w:bCs/>
                <w:color w:val="auto"/>
                <w:sz w:val="21"/>
                <w:szCs w:val="21"/>
                <w:highlight w:val="none"/>
              </w:rPr>
            </w:pPr>
            <w:r>
              <w:rPr>
                <w:rFonts w:hint="default" w:ascii="Times New Roman" w:hAnsi="Times New Roman" w:eastAsia="黑体" w:cs="Times New Roman"/>
                <w:b/>
                <w:bCs/>
                <w:color w:val="auto"/>
                <w:kern w:val="0"/>
                <w:sz w:val="21"/>
                <w:szCs w:val="21"/>
                <w:highlight w:val="none"/>
              </w:rPr>
              <w:t>批复/交易时间</w:t>
            </w:r>
          </w:p>
        </w:tc>
        <w:tc>
          <w:tcPr>
            <w:tcW w:w="672" w:type="dxa"/>
            <w:tcBorders>
              <w:top w:val="single" w:color="000000" w:sz="4" w:space="0"/>
              <w:left w:val="single" w:color="000000" w:sz="4" w:space="0"/>
              <w:bottom w:val="single" w:color="000000" w:sz="4" w:space="0"/>
              <w:right w:val="single" w:color="000000" w:sz="4" w:space="0"/>
            </w:tcBorders>
            <w:vAlign w:val="center"/>
          </w:tcPr>
          <w:p w14:paraId="4B6F7F6F">
            <w:pPr>
              <w:widowControl/>
              <w:spacing w:line="240" w:lineRule="auto"/>
              <w:ind w:firstLine="0" w:firstLineChars="0"/>
              <w:jc w:val="center"/>
              <w:textAlignment w:val="center"/>
              <w:rPr>
                <w:rFonts w:hint="default" w:ascii="Times New Roman" w:hAnsi="Times New Roman" w:eastAsia="黑体" w:cs="Times New Roman"/>
                <w:b/>
                <w:bCs/>
                <w:color w:val="auto"/>
                <w:sz w:val="21"/>
                <w:szCs w:val="21"/>
                <w:highlight w:val="none"/>
              </w:rPr>
            </w:pPr>
            <w:r>
              <w:rPr>
                <w:rFonts w:hint="default" w:ascii="Times New Roman" w:hAnsi="Times New Roman" w:eastAsia="黑体" w:cs="Times New Roman"/>
                <w:b/>
                <w:bCs/>
                <w:color w:val="auto"/>
                <w:kern w:val="0"/>
                <w:sz w:val="21"/>
                <w:szCs w:val="21"/>
                <w:highlight w:val="none"/>
              </w:rPr>
              <w:t>使用年限</w:t>
            </w:r>
          </w:p>
        </w:tc>
        <w:tc>
          <w:tcPr>
            <w:tcW w:w="1051" w:type="dxa"/>
            <w:tcBorders>
              <w:top w:val="single" w:color="000000" w:sz="4" w:space="0"/>
              <w:left w:val="single" w:color="000000" w:sz="4" w:space="0"/>
              <w:bottom w:val="single" w:color="000000" w:sz="4" w:space="0"/>
              <w:right w:val="single" w:color="000000" w:sz="4" w:space="0"/>
            </w:tcBorders>
            <w:vAlign w:val="center"/>
          </w:tcPr>
          <w:p w14:paraId="356651CC">
            <w:pPr>
              <w:widowControl/>
              <w:spacing w:line="240" w:lineRule="auto"/>
              <w:ind w:firstLine="0" w:firstLineChars="0"/>
              <w:jc w:val="center"/>
              <w:textAlignment w:val="center"/>
              <w:rPr>
                <w:rFonts w:hint="default" w:ascii="Times New Roman" w:hAnsi="Times New Roman" w:eastAsia="黑体" w:cs="Times New Roman"/>
                <w:b/>
                <w:bCs/>
                <w:color w:val="auto"/>
                <w:sz w:val="21"/>
                <w:szCs w:val="21"/>
                <w:highlight w:val="none"/>
              </w:rPr>
            </w:pPr>
            <w:r>
              <w:rPr>
                <w:rFonts w:hint="default" w:ascii="Times New Roman" w:hAnsi="Times New Roman" w:eastAsia="黑体" w:cs="Times New Roman"/>
                <w:b/>
                <w:bCs/>
                <w:color w:val="auto"/>
                <w:kern w:val="0"/>
                <w:sz w:val="21"/>
                <w:szCs w:val="21"/>
                <w:highlight w:val="none"/>
              </w:rPr>
              <w:t>所属企业</w:t>
            </w:r>
          </w:p>
        </w:tc>
      </w:tr>
      <w:tr w14:paraId="3A5CAFD7">
        <w:tblPrEx>
          <w:tblCellMar>
            <w:top w:w="0" w:type="dxa"/>
            <w:left w:w="108" w:type="dxa"/>
            <w:bottom w:w="0" w:type="dxa"/>
            <w:right w:w="108" w:type="dxa"/>
          </w:tblCellMar>
        </w:tblPrEx>
        <w:trPr>
          <w:trHeight w:val="943" w:hRule="atLeast"/>
        </w:trPr>
        <w:tc>
          <w:tcPr>
            <w:tcW w:w="469" w:type="dxa"/>
            <w:tcBorders>
              <w:top w:val="single" w:color="000000" w:sz="4" w:space="0"/>
              <w:left w:val="single" w:color="000000" w:sz="4" w:space="0"/>
              <w:bottom w:val="single" w:color="000000" w:sz="4" w:space="0"/>
              <w:right w:val="single" w:color="000000" w:sz="4" w:space="0"/>
            </w:tcBorders>
            <w:vAlign w:val="center"/>
          </w:tcPr>
          <w:p w14:paraId="1386EF41">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1</w:t>
            </w:r>
          </w:p>
        </w:tc>
        <w:tc>
          <w:tcPr>
            <w:tcW w:w="1847" w:type="dxa"/>
            <w:tcBorders>
              <w:top w:val="single" w:color="000000" w:sz="4" w:space="0"/>
              <w:left w:val="single" w:color="000000" w:sz="4" w:space="0"/>
              <w:bottom w:val="single" w:color="000000" w:sz="4" w:space="0"/>
              <w:right w:val="single" w:color="000000" w:sz="4" w:space="0"/>
            </w:tcBorders>
            <w:vAlign w:val="center"/>
          </w:tcPr>
          <w:p w14:paraId="4D3ACB6F">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莲下镇北村工业区</w:t>
            </w:r>
          </w:p>
        </w:tc>
        <w:tc>
          <w:tcPr>
            <w:tcW w:w="927" w:type="dxa"/>
            <w:tcBorders>
              <w:top w:val="single" w:color="000000" w:sz="4" w:space="0"/>
              <w:left w:val="single" w:color="000000" w:sz="4" w:space="0"/>
              <w:bottom w:val="single" w:color="000000" w:sz="4" w:space="0"/>
              <w:right w:val="single" w:color="000000" w:sz="4" w:space="0"/>
            </w:tcBorders>
            <w:vAlign w:val="center"/>
          </w:tcPr>
          <w:p w14:paraId="3BF9D240">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15</w:t>
            </w:r>
          </w:p>
        </w:tc>
        <w:tc>
          <w:tcPr>
            <w:tcW w:w="1279" w:type="dxa"/>
            <w:tcBorders>
              <w:top w:val="single" w:color="000000" w:sz="4" w:space="0"/>
              <w:left w:val="single" w:color="000000" w:sz="4" w:space="0"/>
              <w:bottom w:val="single" w:color="000000" w:sz="4" w:space="0"/>
              <w:right w:val="single" w:color="000000" w:sz="4" w:space="0"/>
            </w:tcBorders>
            <w:vAlign w:val="center"/>
          </w:tcPr>
          <w:p w14:paraId="14902EC8">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狮头鹅加工</w:t>
            </w:r>
          </w:p>
        </w:tc>
        <w:tc>
          <w:tcPr>
            <w:tcW w:w="2275" w:type="dxa"/>
            <w:tcBorders>
              <w:top w:val="single" w:color="000000" w:sz="4" w:space="0"/>
              <w:left w:val="single" w:color="000000" w:sz="4" w:space="0"/>
              <w:bottom w:val="single" w:color="000000" w:sz="4" w:space="0"/>
              <w:right w:val="single" w:color="000000" w:sz="4" w:space="0"/>
            </w:tcBorders>
            <w:vAlign w:val="center"/>
          </w:tcPr>
          <w:p w14:paraId="11F7503D">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2017.12.2-2060.12.1</w:t>
            </w:r>
          </w:p>
        </w:tc>
        <w:tc>
          <w:tcPr>
            <w:tcW w:w="672" w:type="dxa"/>
            <w:tcBorders>
              <w:top w:val="single" w:color="000000" w:sz="4" w:space="0"/>
              <w:left w:val="single" w:color="000000" w:sz="4" w:space="0"/>
              <w:bottom w:val="single" w:color="000000" w:sz="4" w:space="0"/>
              <w:right w:val="single" w:color="000000" w:sz="4" w:space="0"/>
            </w:tcBorders>
            <w:vAlign w:val="center"/>
          </w:tcPr>
          <w:p w14:paraId="57B9ADCC">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50</w:t>
            </w:r>
          </w:p>
        </w:tc>
        <w:tc>
          <w:tcPr>
            <w:tcW w:w="1051" w:type="dxa"/>
            <w:tcBorders>
              <w:top w:val="single" w:color="000000" w:sz="4" w:space="0"/>
              <w:left w:val="single" w:color="000000" w:sz="4" w:space="0"/>
              <w:bottom w:val="single" w:color="000000" w:sz="4" w:space="0"/>
              <w:right w:val="single" w:color="000000" w:sz="4" w:space="0"/>
            </w:tcBorders>
            <w:vAlign w:val="center"/>
          </w:tcPr>
          <w:p w14:paraId="7ACE2862">
            <w:pPr>
              <w:spacing w:line="240" w:lineRule="auto"/>
              <w:ind w:firstLine="0" w:firstLine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汕头市鹅品汇农业科技有限公司</w:t>
            </w:r>
          </w:p>
        </w:tc>
      </w:tr>
      <w:tr w14:paraId="16B62B2B">
        <w:tblPrEx>
          <w:tblCellMar>
            <w:top w:w="0" w:type="dxa"/>
            <w:left w:w="108" w:type="dxa"/>
            <w:bottom w:w="0" w:type="dxa"/>
            <w:right w:w="108" w:type="dxa"/>
          </w:tblCellMar>
        </w:tblPrEx>
        <w:trPr>
          <w:trHeight w:val="90" w:hRule="atLeast"/>
        </w:trPr>
        <w:tc>
          <w:tcPr>
            <w:tcW w:w="469" w:type="dxa"/>
            <w:tcBorders>
              <w:top w:val="single" w:color="000000" w:sz="4" w:space="0"/>
              <w:left w:val="single" w:color="000000" w:sz="4" w:space="0"/>
              <w:bottom w:val="single" w:color="000000" w:sz="4" w:space="0"/>
              <w:right w:val="single" w:color="000000" w:sz="4" w:space="0"/>
            </w:tcBorders>
            <w:vAlign w:val="center"/>
          </w:tcPr>
          <w:p w14:paraId="7FCE2BEA">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2</w:t>
            </w:r>
          </w:p>
        </w:tc>
        <w:tc>
          <w:tcPr>
            <w:tcW w:w="1847" w:type="dxa"/>
            <w:tcBorders>
              <w:top w:val="single" w:color="000000" w:sz="4" w:space="0"/>
              <w:left w:val="single" w:color="000000" w:sz="4" w:space="0"/>
              <w:bottom w:val="single" w:color="000000" w:sz="4" w:space="0"/>
              <w:right w:val="single" w:color="000000" w:sz="4" w:space="0"/>
            </w:tcBorders>
            <w:vAlign w:val="center"/>
          </w:tcPr>
          <w:p w14:paraId="2AE39D20">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澄海区莱美路与白沙主轴公路交界东北侧</w:t>
            </w:r>
          </w:p>
        </w:tc>
        <w:tc>
          <w:tcPr>
            <w:tcW w:w="927" w:type="dxa"/>
            <w:tcBorders>
              <w:top w:val="single" w:color="000000" w:sz="4" w:space="0"/>
              <w:left w:val="single" w:color="000000" w:sz="4" w:space="0"/>
              <w:bottom w:val="single" w:color="000000" w:sz="4" w:space="0"/>
              <w:right w:val="single" w:color="000000" w:sz="4" w:space="0"/>
            </w:tcBorders>
            <w:vAlign w:val="center"/>
          </w:tcPr>
          <w:p w14:paraId="45997923">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5.73</w:t>
            </w:r>
          </w:p>
        </w:tc>
        <w:tc>
          <w:tcPr>
            <w:tcW w:w="1279" w:type="dxa"/>
            <w:tcBorders>
              <w:top w:val="single" w:color="000000" w:sz="4" w:space="0"/>
              <w:left w:val="single" w:color="000000" w:sz="4" w:space="0"/>
              <w:bottom w:val="single" w:color="000000" w:sz="4" w:space="0"/>
              <w:right w:val="single" w:color="000000" w:sz="4" w:space="0"/>
            </w:tcBorders>
            <w:vAlign w:val="center"/>
          </w:tcPr>
          <w:p w14:paraId="25883BFE">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互联网+现代农业产业园</w:t>
            </w:r>
          </w:p>
        </w:tc>
        <w:tc>
          <w:tcPr>
            <w:tcW w:w="2275" w:type="dxa"/>
            <w:tcBorders>
              <w:top w:val="single" w:color="000000" w:sz="4" w:space="0"/>
              <w:left w:val="single" w:color="000000" w:sz="4" w:space="0"/>
              <w:bottom w:val="single" w:color="000000" w:sz="4" w:space="0"/>
              <w:right w:val="single" w:color="000000" w:sz="4" w:space="0"/>
            </w:tcBorders>
            <w:vAlign w:val="center"/>
          </w:tcPr>
          <w:p w14:paraId="7923860A">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2018.5.31-2028.5.31</w:t>
            </w:r>
          </w:p>
        </w:tc>
        <w:tc>
          <w:tcPr>
            <w:tcW w:w="672" w:type="dxa"/>
            <w:tcBorders>
              <w:top w:val="single" w:color="000000" w:sz="4" w:space="0"/>
              <w:left w:val="single" w:color="000000" w:sz="4" w:space="0"/>
              <w:bottom w:val="single" w:color="000000" w:sz="4" w:space="0"/>
              <w:right w:val="single" w:color="000000" w:sz="4" w:space="0"/>
            </w:tcBorders>
            <w:vAlign w:val="center"/>
          </w:tcPr>
          <w:p w14:paraId="59D35C08">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10</w:t>
            </w:r>
          </w:p>
        </w:tc>
        <w:tc>
          <w:tcPr>
            <w:tcW w:w="1051" w:type="dxa"/>
            <w:tcBorders>
              <w:top w:val="single" w:color="000000" w:sz="4" w:space="0"/>
              <w:left w:val="single" w:color="000000" w:sz="4" w:space="0"/>
              <w:bottom w:val="single" w:color="000000" w:sz="4" w:space="0"/>
              <w:right w:val="single" w:color="000000" w:sz="4" w:space="0"/>
            </w:tcBorders>
            <w:vAlign w:val="center"/>
          </w:tcPr>
          <w:p w14:paraId="131DF76B">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广东心瓷科技股份有限公司</w:t>
            </w:r>
          </w:p>
        </w:tc>
      </w:tr>
      <w:tr w14:paraId="2A295FDB">
        <w:tblPrEx>
          <w:tblCellMar>
            <w:top w:w="0" w:type="dxa"/>
            <w:left w:w="108" w:type="dxa"/>
            <w:bottom w:w="0" w:type="dxa"/>
            <w:right w:w="108" w:type="dxa"/>
          </w:tblCellMar>
        </w:tblPrEx>
        <w:trPr>
          <w:trHeight w:val="1254" w:hRule="atLeast"/>
        </w:trPr>
        <w:tc>
          <w:tcPr>
            <w:tcW w:w="469" w:type="dxa"/>
            <w:tcBorders>
              <w:top w:val="single" w:color="000000" w:sz="4" w:space="0"/>
              <w:left w:val="single" w:color="000000" w:sz="4" w:space="0"/>
              <w:bottom w:val="single" w:color="000000" w:sz="4" w:space="0"/>
              <w:right w:val="single" w:color="000000" w:sz="4" w:space="0"/>
            </w:tcBorders>
            <w:vAlign w:val="center"/>
          </w:tcPr>
          <w:p w14:paraId="0D60781A">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3</w:t>
            </w:r>
          </w:p>
        </w:tc>
        <w:tc>
          <w:tcPr>
            <w:tcW w:w="1847" w:type="dxa"/>
            <w:tcBorders>
              <w:top w:val="single" w:color="000000" w:sz="4" w:space="0"/>
              <w:left w:val="single" w:color="000000" w:sz="4" w:space="0"/>
              <w:bottom w:val="single" w:color="000000" w:sz="4" w:space="0"/>
              <w:right w:val="single" w:color="000000" w:sz="4" w:space="0"/>
            </w:tcBorders>
            <w:vAlign w:val="center"/>
          </w:tcPr>
          <w:p w14:paraId="0A79038C">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汕头市澄海区隆都镇台商投资区</w:t>
            </w:r>
          </w:p>
        </w:tc>
        <w:tc>
          <w:tcPr>
            <w:tcW w:w="927" w:type="dxa"/>
            <w:tcBorders>
              <w:top w:val="single" w:color="000000" w:sz="4" w:space="0"/>
              <w:left w:val="single" w:color="000000" w:sz="4" w:space="0"/>
              <w:bottom w:val="single" w:color="000000" w:sz="4" w:space="0"/>
              <w:right w:val="single" w:color="000000" w:sz="4" w:space="0"/>
            </w:tcBorders>
            <w:vAlign w:val="center"/>
          </w:tcPr>
          <w:p w14:paraId="51BB1114">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10</w:t>
            </w:r>
          </w:p>
        </w:tc>
        <w:tc>
          <w:tcPr>
            <w:tcW w:w="1279" w:type="dxa"/>
            <w:tcBorders>
              <w:top w:val="single" w:color="000000" w:sz="4" w:space="0"/>
              <w:left w:val="single" w:color="000000" w:sz="4" w:space="0"/>
              <w:bottom w:val="single" w:color="000000" w:sz="4" w:space="0"/>
              <w:right w:val="single" w:color="000000" w:sz="4" w:space="0"/>
            </w:tcBorders>
            <w:vAlign w:val="center"/>
          </w:tcPr>
          <w:p w14:paraId="793F30B2">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狮头鹅加工</w:t>
            </w:r>
          </w:p>
        </w:tc>
        <w:tc>
          <w:tcPr>
            <w:tcW w:w="2275" w:type="dxa"/>
            <w:tcBorders>
              <w:top w:val="single" w:color="000000" w:sz="4" w:space="0"/>
              <w:left w:val="single" w:color="000000" w:sz="4" w:space="0"/>
              <w:bottom w:val="single" w:color="000000" w:sz="4" w:space="0"/>
              <w:right w:val="single" w:color="000000" w:sz="4" w:space="0"/>
            </w:tcBorders>
            <w:vAlign w:val="center"/>
          </w:tcPr>
          <w:p w14:paraId="6407C107">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1992.8.10-2042.8.9</w:t>
            </w:r>
          </w:p>
        </w:tc>
        <w:tc>
          <w:tcPr>
            <w:tcW w:w="672" w:type="dxa"/>
            <w:tcBorders>
              <w:top w:val="single" w:color="000000" w:sz="4" w:space="0"/>
              <w:left w:val="single" w:color="000000" w:sz="4" w:space="0"/>
              <w:bottom w:val="single" w:color="000000" w:sz="4" w:space="0"/>
              <w:right w:val="single" w:color="000000" w:sz="4" w:space="0"/>
            </w:tcBorders>
            <w:vAlign w:val="center"/>
          </w:tcPr>
          <w:p w14:paraId="7CA4DCBD">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50</w:t>
            </w:r>
          </w:p>
        </w:tc>
        <w:tc>
          <w:tcPr>
            <w:tcW w:w="1051" w:type="dxa"/>
            <w:tcBorders>
              <w:top w:val="single" w:color="000000" w:sz="4" w:space="0"/>
              <w:left w:val="single" w:color="000000" w:sz="4" w:space="0"/>
              <w:bottom w:val="single" w:color="000000" w:sz="4" w:space="0"/>
              <w:right w:val="single" w:color="000000" w:sz="4" w:space="0"/>
            </w:tcBorders>
            <w:vAlign w:val="center"/>
          </w:tcPr>
          <w:p w14:paraId="691F00F5">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广东安鲜食品股份有限公司</w:t>
            </w:r>
          </w:p>
        </w:tc>
      </w:tr>
      <w:tr w14:paraId="10163F21">
        <w:tblPrEx>
          <w:tblCellMar>
            <w:top w:w="0" w:type="dxa"/>
            <w:left w:w="108" w:type="dxa"/>
            <w:bottom w:w="0" w:type="dxa"/>
            <w:right w:w="108" w:type="dxa"/>
          </w:tblCellMar>
        </w:tblPrEx>
        <w:trPr>
          <w:trHeight w:val="1254" w:hRule="atLeast"/>
        </w:trPr>
        <w:tc>
          <w:tcPr>
            <w:tcW w:w="469" w:type="dxa"/>
            <w:tcBorders>
              <w:top w:val="single" w:color="000000" w:sz="4" w:space="0"/>
              <w:left w:val="single" w:color="000000" w:sz="4" w:space="0"/>
              <w:bottom w:val="single" w:color="000000" w:sz="4" w:space="0"/>
              <w:right w:val="single" w:color="000000" w:sz="4" w:space="0"/>
            </w:tcBorders>
            <w:vAlign w:val="center"/>
          </w:tcPr>
          <w:p w14:paraId="62383FBB">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4</w:t>
            </w:r>
          </w:p>
        </w:tc>
        <w:tc>
          <w:tcPr>
            <w:tcW w:w="1847" w:type="dxa"/>
            <w:tcBorders>
              <w:top w:val="single" w:color="000000" w:sz="4" w:space="0"/>
              <w:left w:val="single" w:color="000000" w:sz="4" w:space="0"/>
              <w:bottom w:val="single" w:color="000000" w:sz="4" w:space="0"/>
              <w:right w:val="single" w:color="000000" w:sz="4" w:space="0"/>
            </w:tcBorders>
            <w:vAlign w:val="center"/>
          </w:tcPr>
          <w:p w14:paraId="41052EB8">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汕头市澄海区凤翔街道金鸿公路东侧恒源冷链物流园</w:t>
            </w:r>
          </w:p>
        </w:tc>
        <w:tc>
          <w:tcPr>
            <w:tcW w:w="927" w:type="dxa"/>
            <w:tcBorders>
              <w:top w:val="single" w:color="000000" w:sz="4" w:space="0"/>
              <w:left w:val="single" w:color="000000" w:sz="4" w:space="0"/>
              <w:bottom w:val="single" w:color="000000" w:sz="4" w:space="0"/>
              <w:right w:val="single" w:color="000000" w:sz="4" w:space="0"/>
            </w:tcBorders>
            <w:vAlign w:val="center"/>
          </w:tcPr>
          <w:p w14:paraId="2239B1E5">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29.8</w:t>
            </w:r>
          </w:p>
        </w:tc>
        <w:tc>
          <w:tcPr>
            <w:tcW w:w="1279" w:type="dxa"/>
            <w:tcBorders>
              <w:top w:val="single" w:color="000000" w:sz="4" w:space="0"/>
              <w:left w:val="single" w:color="000000" w:sz="4" w:space="0"/>
              <w:bottom w:val="single" w:color="000000" w:sz="4" w:space="0"/>
              <w:right w:val="single" w:color="000000" w:sz="4" w:space="0"/>
            </w:tcBorders>
            <w:vAlign w:val="center"/>
          </w:tcPr>
          <w:p w14:paraId="7784DDBD">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冷库、附属设备楼</w:t>
            </w:r>
          </w:p>
        </w:tc>
        <w:tc>
          <w:tcPr>
            <w:tcW w:w="2275" w:type="dxa"/>
            <w:tcBorders>
              <w:top w:val="single" w:color="000000" w:sz="4" w:space="0"/>
              <w:left w:val="single" w:color="000000" w:sz="4" w:space="0"/>
              <w:bottom w:val="single" w:color="000000" w:sz="4" w:space="0"/>
              <w:right w:val="single" w:color="000000" w:sz="4" w:space="0"/>
            </w:tcBorders>
            <w:vAlign w:val="center"/>
          </w:tcPr>
          <w:p w14:paraId="1A00B7C2">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2015-2055</w:t>
            </w:r>
          </w:p>
        </w:tc>
        <w:tc>
          <w:tcPr>
            <w:tcW w:w="672" w:type="dxa"/>
            <w:tcBorders>
              <w:top w:val="single" w:color="000000" w:sz="4" w:space="0"/>
              <w:left w:val="single" w:color="000000" w:sz="4" w:space="0"/>
              <w:bottom w:val="single" w:color="000000" w:sz="4" w:space="0"/>
              <w:right w:val="single" w:color="000000" w:sz="4" w:space="0"/>
            </w:tcBorders>
            <w:vAlign w:val="center"/>
          </w:tcPr>
          <w:p w14:paraId="067524DD">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40</w:t>
            </w:r>
          </w:p>
        </w:tc>
        <w:tc>
          <w:tcPr>
            <w:tcW w:w="1051" w:type="dxa"/>
            <w:tcBorders>
              <w:top w:val="single" w:color="000000" w:sz="4" w:space="0"/>
              <w:left w:val="single" w:color="000000" w:sz="4" w:space="0"/>
              <w:bottom w:val="single" w:color="000000" w:sz="4" w:space="0"/>
              <w:right w:val="single" w:color="000000" w:sz="4" w:space="0"/>
            </w:tcBorders>
            <w:vAlign w:val="center"/>
          </w:tcPr>
          <w:p w14:paraId="4D0B7BB7">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广东辉源机械股份有限公司</w:t>
            </w:r>
          </w:p>
        </w:tc>
      </w:tr>
      <w:tr w14:paraId="5E790146">
        <w:tblPrEx>
          <w:tblCellMar>
            <w:top w:w="0" w:type="dxa"/>
            <w:left w:w="108" w:type="dxa"/>
            <w:bottom w:w="0" w:type="dxa"/>
            <w:right w:w="108" w:type="dxa"/>
          </w:tblCellMar>
        </w:tblPrEx>
        <w:trPr>
          <w:trHeight w:val="1254" w:hRule="atLeast"/>
        </w:trPr>
        <w:tc>
          <w:tcPr>
            <w:tcW w:w="469" w:type="dxa"/>
            <w:tcBorders>
              <w:top w:val="single" w:color="000000" w:sz="4" w:space="0"/>
              <w:left w:val="single" w:color="000000" w:sz="4" w:space="0"/>
              <w:bottom w:val="single" w:color="000000" w:sz="4" w:space="0"/>
              <w:right w:val="single" w:color="000000" w:sz="4" w:space="0"/>
            </w:tcBorders>
            <w:vAlign w:val="center"/>
          </w:tcPr>
          <w:p w14:paraId="5EC8B484">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5</w:t>
            </w:r>
          </w:p>
        </w:tc>
        <w:tc>
          <w:tcPr>
            <w:tcW w:w="1847" w:type="dxa"/>
            <w:tcBorders>
              <w:top w:val="single" w:color="000000" w:sz="4" w:space="0"/>
              <w:left w:val="single" w:color="000000" w:sz="4" w:space="0"/>
              <w:bottom w:val="single" w:color="000000" w:sz="4" w:space="0"/>
              <w:right w:val="single" w:color="000000" w:sz="4" w:space="0"/>
            </w:tcBorders>
            <w:vAlign w:val="center"/>
          </w:tcPr>
          <w:p w14:paraId="6187181A">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下莲镇窖西村柑橘工业园区</w:t>
            </w:r>
          </w:p>
        </w:tc>
        <w:tc>
          <w:tcPr>
            <w:tcW w:w="927" w:type="dxa"/>
            <w:tcBorders>
              <w:top w:val="single" w:color="000000" w:sz="4" w:space="0"/>
              <w:left w:val="single" w:color="000000" w:sz="4" w:space="0"/>
              <w:bottom w:val="single" w:color="000000" w:sz="4" w:space="0"/>
              <w:right w:val="single" w:color="000000" w:sz="4" w:space="0"/>
            </w:tcBorders>
            <w:vAlign w:val="center"/>
          </w:tcPr>
          <w:p w14:paraId="7C319137">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4.5</w:t>
            </w:r>
          </w:p>
        </w:tc>
        <w:tc>
          <w:tcPr>
            <w:tcW w:w="1279" w:type="dxa"/>
            <w:tcBorders>
              <w:top w:val="single" w:color="000000" w:sz="4" w:space="0"/>
              <w:left w:val="single" w:color="000000" w:sz="4" w:space="0"/>
              <w:bottom w:val="single" w:color="000000" w:sz="4" w:space="0"/>
              <w:right w:val="single" w:color="000000" w:sz="4" w:space="0"/>
            </w:tcBorders>
            <w:vAlign w:val="center"/>
          </w:tcPr>
          <w:p w14:paraId="12ED5B11">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狮头鹅饲养与加工</w:t>
            </w:r>
          </w:p>
        </w:tc>
        <w:tc>
          <w:tcPr>
            <w:tcW w:w="2275" w:type="dxa"/>
            <w:tcBorders>
              <w:top w:val="single" w:color="000000" w:sz="4" w:space="0"/>
              <w:left w:val="single" w:color="000000" w:sz="4" w:space="0"/>
              <w:bottom w:val="single" w:color="000000" w:sz="4" w:space="0"/>
              <w:right w:val="single" w:color="000000" w:sz="4" w:space="0"/>
            </w:tcBorders>
            <w:vAlign w:val="center"/>
          </w:tcPr>
          <w:p w14:paraId="315F745F">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2019.12.13</w:t>
            </w: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17093E25">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w:t>
            </w:r>
          </w:p>
        </w:tc>
        <w:tc>
          <w:tcPr>
            <w:tcW w:w="1051" w:type="dxa"/>
            <w:tcBorders>
              <w:top w:val="single" w:color="000000" w:sz="4" w:space="0"/>
              <w:left w:val="single" w:color="000000" w:sz="4" w:space="0"/>
              <w:bottom w:val="single" w:color="000000" w:sz="4" w:space="0"/>
              <w:right w:val="single" w:color="000000" w:sz="4" w:space="0"/>
            </w:tcBorders>
            <w:vAlign w:val="center"/>
          </w:tcPr>
          <w:p w14:paraId="03684A15">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汕头市雅信农业发展有限公司</w:t>
            </w:r>
          </w:p>
        </w:tc>
      </w:tr>
      <w:tr w14:paraId="3064AF9C">
        <w:tblPrEx>
          <w:tblCellMar>
            <w:top w:w="0" w:type="dxa"/>
            <w:left w:w="108" w:type="dxa"/>
            <w:bottom w:w="0" w:type="dxa"/>
            <w:right w:w="108" w:type="dxa"/>
          </w:tblCellMar>
        </w:tblPrEx>
        <w:trPr>
          <w:trHeight w:val="1565" w:hRule="atLeast"/>
        </w:trPr>
        <w:tc>
          <w:tcPr>
            <w:tcW w:w="469" w:type="dxa"/>
            <w:tcBorders>
              <w:top w:val="single" w:color="000000" w:sz="4" w:space="0"/>
              <w:left w:val="single" w:color="000000" w:sz="4" w:space="0"/>
              <w:bottom w:val="single" w:color="000000" w:sz="4" w:space="0"/>
              <w:right w:val="single" w:color="000000" w:sz="4" w:space="0"/>
            </w:tcBorders>
            <w:vAlign w:val="center"/>
          </w:tcPr>
          <w:p w14:paraId="60CD582D">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6</w:t>
            </w:r>
          </w:p>
        </w:tc>
        <w:tc>
          <w:tcPr>
            <w:tcW w:w="1847" w:type="dxa"/>
            <w:tcBorders>
              <w:top w:val="single" w:color="000000" w:sz="4" w:space="0"/>
              <w:left w:val="single" w:color="000000" w:sz="4" w:space="0"/>
              <w:bottom w:val="single" w:color="000000" w:sz="4" w:space="0"/>
              <w:right w:val="single" w:color="000000" w:sz="4" w:space="0"/>
            </w:tcBorders>
            <w:vAlign w:val="center"/>
          </w:tcPr>
          <w:p w14:paraId="2A100628">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汕头市澄海区盐鸿镇324国道西、科智路南</w:t>
            </w:r>
          </w:p>
        </w:tc>
        <w:tc>
          <w:tcPr>
            <w:tcW w:w="927" w:type="dxa"/>
            <w:tcBorders>
              <w:top w:val="single" w:color="000000" w:sz="4" w:space="0"/>
              <w:left w:val="single" w:color="000000" w:sz="4" w:space="0"/>
              <w:bottom w:val="single" w:color="000000" w:sz="4" w:space="0"/>
              <w:right w:val="single" w:color="000000" w:sz="4" w:space="0"/>
            </w:tcBorders>
            <w:vAlign w:val="center"/>
          </w:tcPr>
          <w:p w14:paraId="243F201F">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56.25</w:t>
            </w:r>
          </w:p>
        </w:tc>
        <w:tc>
          <w:tcPr>
            <w:tcW w:w="1279" w:type="dxa"/>
            <w:tcBorders>
              <w:top w:val="single" w:color="000000" w:sz="4" w:space="0"/>
              <w:left w:val="single" w:color="000000" w:sz="4" w:space="0"/>
              <w:bottom w:val="single" w:color="000000" w:sz="4" w:space="0"/>
              <w:right w:val="single" w:color="000000" w:sz="4" w:space="0"/>
            </w:tcBorders>
            <w:vAlign w:val="center"/>
          </w:tcPr>
          <w:p w14:paraId="0C2C30E9">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建设屠宰车间及相关配套</w:t>
            </w:r>
          </w:p>
        </w:tc>
        <w:tc>
          <w:tcPr>
            <w:tcW w:w="2275" w:type="dxa"/>
            <w:tcBorders>
              <w:top w:val="single" w:color="000000" w:sz="4" w:space="0"/>
              <w:left w:val="single" w:color="000000" w:sz="4" w:space="0"/>
              <w:bottom w:val="single" w:color="000000" w:sz="4" w:space="0"/>
              <w:right w:val="single" w:color="000000" w:sz="4" w:space="0"/>
            </w:tcBorders>
            <w:vAlign w:val="center"/>
          </w:tcPr>
          <w:p w14:paraId="1545AD8A">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2020.5.28-2070.5.27</w:t>
            </w:r>
          </w:p>
        </w:tc>
        <w:tc>
          <w:tcPr>
            <w:tcW w:w="672" w:type="dxa"/>
            <w:tcBorders>
              <w:top w:val="single" w:color="000000" w:sz="4" w:space="0"/>
              <w:left w:val="single" w:color="000000" w:sz="4" w:space="0"/>
              <w:bottom w:val="single" w:color="000000" w:sz="4" w:space="0"/>
              <w:right w:val="single" w:color="000000" w:sz="4" w:space="0"/>
            </w:tcBorders>
            <w:vAlign w:val="center"/>
          </w:tcPr>
          <w:p w14:paraId="29D942C2">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70</w:t>
            </w:r>
          </w:p>
        </w:tc>
        <w:tc>
          <w:tcPr>
            <w:tcW w:w="1051" w:type="dxa"/>
            <w:tcBorders>
              <w:top w:val="single" w:color="000000" w:sz="4" w:space="0"/>
              <w:left w:val="single" w:color="000000" w:sz="4" w:space="0"/>
              <w:bottom w:val="single" w:color="000000" w:sz="4" w:space="0"/>
              <w:right w:val="single" w:color="000000" w:sz="4" w:space="0"/>
            </w:tcBorders>
            <w:vAlign w:val="center"/>
          </w:tcPr>
          <w:p w14:paraId="5BCA3ED8">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广东海润现代农业发展有限公司</w:t>
            </w:r>
          </w:p>
        </w:tc>
      </w:tr>
      <w:tr w14:paraId="1D021D1B">
        <w:tblPrEx>
          <w:tblCellMar>
            <w:top w:w="0" w:type="dxa"/>
            <w:left w:w="108" w:type="dxa"/>
            <w:bottom w:w="0" w:type="dxa"/>
            <w:right w:w="108" w:type="dxa"/>
          </w:tblCellMar>
        </w:tblPrEx>
        <w:trPr>
          <w:trHeight w:val="1565" w:hRule="atLeast"/>
        </w:trPr>
        <w:tc>
          <w:tcPr>
            <w:tcW w:w="469" w:type="dxa"/>
            <w:tcBorders>
              <w:top w:val="single" w:color="000000" w:sz="4" w:space="0"/>
              <w:left w:val="single" w:color="000000" w:sz="4" w:space="0"/>
              <w:bottom w:val="single" w:color="000000" w:sz="4" w:space="0"/>
              <w:right w:val="single" w:color="000000" w:sz="4" w:space="0"/>
            </w:tcBorders>
            <w:vAlign w:val="center"/>
          </w:tcPr>
          <w:p w14:paraId="70F6C80B">
            <w:pPr>
              <w:widowControl/>
              <w:spacing w:line="240" w:lineRule="auto"/>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7</w:t>
            </w:r>
          </w:p>
        </w:tc>
        <w:tc>
          <w:tcPr>
            <w:tcW w:w="1847" w:type="dxa"/>
            <w:tcBorders>
              <w:top w:val="single" w:color="000000" w:sz="4" w:space="0"/>
              <w:left w:val="single" w:color="000000" w:sz="4" w:space="0"/>
              <w:bottom w:val="single" w:color="000000" w:sz="4" w:space="0"/>
              <w:right w:val="single" w:color="000000" w:sz="4" w:space="0"/>
            </w:tcBorders>
            <w:vAlign w:val="center"/>
          </w:tcPr>
          <w:p w14:paraId="50D34F68">
            <w:pPr>
              <w:widowControl/>
              <w:spacing w:line="240" w:lineRule="auto"/>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汕头市澄海区溪南镇凤东路东侧、金桐路南侧之一地块</w:t>
            </w:r>
          </w:p>
        </w:tc>
        <w:tc>
          <w:tcPr>
            <w:tcW w:w="927" w:type="dxa"/>
            <w:tcBorders>
              <w:top w:val="single" w:color="000000" w:sz="4" w:space="0"/>
              <w:left w:val="single" w:color="000000" w:sz="4" w:space="0"/>
              <w:bottom w:val="single" w:color="000000" w:sz="4" w:space="0"/>
              <w:right w:val="single" w:color="000000" w:sz="4" w:space="0"/>
            </w:tcBorders>
            <w:vAlign w:val="center"/>
          </w:tcPr>
          <w:p w14:paraId="1E5D1EB4">
            <w:pPr>
              <w:widowControl/>
              <w:spacing w:line="240" w:lineRule="auto"/>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36.2</w:t>
            </w:r>
          </w:p>
        </w:tc>
        <w:tc>
          <w:tcPr>
            <w:tcW w:w="1279" w:type="dxa"/>
            <w:tcBorders>
              <w:top w:val="single" w:color="000000" w:sz="4" w:space="0"/>
              <w:left w:val="single" w:color="000000" w:sz="4" w:space="0"/>
              <w:bottom w:val="single" w:color="000000" w:sz="4" w:space="0"/>
              <w:right w:val="single" w:color="000000" w:sz="4" w:space="0"/>
            </w:tcBorders>
            <w:vAlign w:val="center"/>
          </w:tcPr>
          <w:p w14:paraId="29B82CA1">
            <w:pPr>
              <w:widowControl/>
              <w:spacing w:line="240" w:lineRule="auto"/>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狮头鹅养殖废弃物处理</w:t>
            </w:r>
          </w:p>
        </w:tc>
        <w:tc>
          <w:tcPr>
            <w:tcW w:w="2275" w:type="dxa"/>
            <w:tcBorders>
              <w:top w:val="single" w:color="000000" w:sz="4" w:space="0"/>
              <w:left w:val="single" w:color="000000" w:sz="4" w:space="0"/>
              <w:bottom w:val="single" w:color="000000" w:sz="4" w:space="0"/>
              <w:right w:val="single" w:color="000000" w:sz="4" w:space="0"/>
            </w:tcBorders>
            <w:vAlign w:val="center"/>
          </w:tcPr>
          <w:p w14:paraId="505F4BF7">
            <w:pPr>
              <w:widowControl/>
              <w:spacing w:line="240" w:lineRule="auto"/>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2023.2.8—2073.2.7</w:t>
            </w:r>
          </w:p>
        </w:tc>
        <w:tc>
          <w:tcPr>
            <w:tcW w:w="672" w:type="dxa"/>
            <w:tcBorders>
              <w:top w:val="single" w:color="000000" w:sz="4" w:space="0"/>
              <w:left w:val="single" w:color="000000" w:sz="4" w:space="0"/>
              <w:bottom w:val="single" w:color="000000" w:sz="4" w:space="0"/>
              <w:right w:val="single" w:color="000000" w:sz="4" w:space="0"/>
            </w:tcBorders>
            <w:vAlign w:val="center"/>
          </w:tcPr>
          <w:p w14:paraId="5A8CE9C6">
            <w:pPr>
              <w:widowControl/>
              <w:spacing w:line="240" w:lineRule="auto"/>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70</w:t>
            </w:r>
          </w:p>
        </w:tc>
        <w:tc>
          <w:tcPr>
            <w:tcW w:w="1051" w:type="dxa"/>
            <w:tcBorders>
              <w:top w:val="single" w:color="000000" w:sz="4" w:space="0"/>
              <w:left w:val="single" w:color="000000" w:sz="4" w:space="0"/>
              <w:bottom w:val="single" w:color="000000" w:sz="4" w:space="0"/>
              <w:right w:val="single" w:color="000000" w:sz="4" w:space="0"/>
            </w:tcBorders>
            <w:vAlign w:val="center"/>
          </w:tcPr>
          <w:p w14:paraId="5090751E">
            <w:pPr>
              <w:widowControl/>
              <w:spacing w:line="240" w:lineRule="auto"/>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广东翠友生物科技有限公司</w:t>
            </w:r>
          </w:p>
        </w:tc>
      </w:tr>
      <w:tr w14:paraId="0529E618">
        <w:tblPrEx>
          <w:tblCellMar>
            <w:top w:w="0" w:type="dxa"/>
            <w:left w:w="108" w:type="dxa"/>
            <w:bottom w:w="0" w:type="dxa"/>
            <w:right w:w="108" w:type="dxa"/>
          </w:tblCellMar>
        </w:tblPrEx>
        <w:trPr>
          <w:trHeight w:val="498" w:hRule="atLeast"/>
        </w:trPr>
        <w:tc>
          <w:tcPr>
            <w:tcW w:w="2316" w:type="dxa"/>
            <w:gridSpan w:val="2"/>
            <w:tcBorders>
              <w:top w:val="single" w:color="000000" w:sz="4" w:space="0"/>
              <w:left w:val="single" w:color="000000" w:sz="4" w:space="0"/>
              <w:bottom w:val="single" w:color="000000" w:sz="4" w:space="0"/>
              <w:right w:val="single" w:color="000000" w:sz="4" w:space="0"/>
            </w:tcBorders>
            <w:vAlign w:val="center"/>
          </w:tcPr>
          <w:p w14:paraId="560A25DC">
            <w:pPr>
              <w:widowControl/>
              <w:spacing w:line="240" w:lineRule="auto"/>
              <w:ind w:firstLine="0" w:firstLineChars="0"/>
              <w:jc w:val="center"/>
              <w:textAlignment w:val="center"/>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kern w:val="0"/>
                <w:sz w:val="21"/>
                <w:szCs w:val="21"/>
                <w:highlight w:val="none"/>
              </w:rPr>
              <w:t>合计</w:t>
            </w:r>
          </w:p>
        </w:tc>
        <w:tc>
          <w:tcPr>
            <w:tcW w:w="927" w:type="dxa"/>
            <w:tcBorders>
              <w:top w:val="single" w:color="000000" w:sz="4" w:space="0"/>
              <w:left w:val="single" w:color="000000" w:sz="4" w:space="0"/>
              <w:bottom w:val="single" w:color="000000" w:sz="4" w:space="0"/>
              <w:right w:val="single" w:color="000000" w:sz="4" w:space="0"/>
            </w:tcBorders>
            <w:vAlign w:val="center"/>
          </w:tcPr>
          <w:p w14:paraId="593EAA27">
            <w:pPr>
              <w:widowControl/>
              <w:spacing w:line="240" w:lineRule="auto"/>
              <w:ind w:firstLine="0" w:firstLineChars="0"/>
              <w:jc w:val="center"/>
              <w:textAlignment w:val="center"/>
              <w:rPr>
                <w:rFonts w:hint="default" w:ascii="Times New Roman" w:hAnsi="Times New Roman" w:eastAsia="仿宋_GB2312" w:cs="Times New Roman"/>
                <w:b/>
                <w:bCs/>
                <w:color w:val="auto"/>
                <w:sz w:val="21"/>
                <w:szCs w:val="21"/>
                <w:highlight w:val="none"/>
                <w:lang w:val="en-US" w:eastAsia="zh-CN"/>
              </w:rPr>
            </w:pPr>
            <w:r>
              <w:rPr>
                <w:rFonts w:hint="default" w:ascii="Times New Roman" w:hAnsi="Times New Roman" w:eastAsia="仿宋_GB2312" w:cs="Times New Roman"/>
                <w:b/>
                <w:bCs/>
                <w:color w:val="auto"/>
                <w:sz w:val="21"/>
                <w:szCs w:val="21"/>
                <w:highlight w:val="none"/>
              </w:rPr>
              <w:t>1</w:t>
            </w:r>
            <w:r>
              <w:rPr>
                <w:rFonts w:hint="eastAsia" w:ascii="Times New Roman" w:hAnsi="Times New Roman" w:cs="Times New Roman"/>
                <w:b/>
                <w:bCs/>
                <w:color w:val="auto"/>
                <w:sz w:val="21"/>
                <w:szCs w:val="21"/>
                <w:highlight w:val="none"/>
                <w:lang w:val="en-US" w:eastAsia="zh-CN"/>
              </w:rPr>
              <w:t>57.48</w:t>
            </w:r>
          </w:p>
        </w:tc>
        <w:tc>
          <w:tcPr>
            <w:tcW w:w="1279" w:type="dxa"/>
            <w:tcBorders>
              <w:top w:val="single" w:color="000000" w:sz="4" w:space="0"/>
              <w:left w:val="single" w:color="000000" w:sz="4" w:space="0"/>
              <w:bottom w:val="single" w:color="000000" w:sz="4" w:space="0"/>
              <w:right w:val="single" w:color="000000" w:sz="4" w:space="0"/>
            </w:tcBorders>
            <w:vAlign w:val="center"/>
          </w:tcPr>
          <w:p w14:paraId="2A1EF911">
            <w:pPr>
              <w:spacing w:line="240" w:lineRule="auto"/>
              <w:ind w:firstLine="0" w:firstLineChars="0"/>
              <w:jc w:val="center"/>
              <w:rPr>
                <w:rFonts w:hint="default" w:ascii="Times New Roman" w:hAnsi="Times New Roman" w:eastAsia="仿宋_GB2312" w:cs="Times New Roman"/>
                <w:b/>
                <w:bCs/>
                <w:color w:val="auto"/>
                <w:sz w:val="21"/>
                <w:szCs w:val="21"/>
                <w:highlight w:val="none"/>
              </w:rPr>
            </w:pPr>
          </w:p>
        </w:tc>
        <w:tc>
          <w:tcPr>
            <w:tcW w:w="2275" w:type="dxa"/>
            <w:tcBorders>
              <w:top w:val="single" w:color="000000" w:sz="4" w:space="0"/>
              <w:left w:val="single" w:color="000000" w:sz="4" w:space="0"/>
              <w:bottom w:val="single" w:color="000000" w:sz="4" w:space="0"/>
              <w:right w:val="single" w:color="000000" w:sz="4" w:space="0"/>
            </w:tcBorders>
            <w:vAlign w:val="center"/>
          </w:tcPr>
          <w:p w14:paraId="1D7F753D">
            <w:pPr>
              <w:spacing w:line="240" w:lineRule="auto"/>
              <w:ind w:firstLine="0" w:firstLineChars="0"/>
              <w:jc w:val="center"/>
              <w:rPr>
                <w:rFonts w:hint="default" w:ascii="Times New Roman" w:hAnsi="Times New Roman" w:eastAsia="仿宋_GB2312" w:cs="Times New Roman"/>
                <w:b/>
                <w:bCs/>
                <w:color w:val="auto"/>
                <w:sz w:val="21"/>
                <w:szCs w:val="21"/>
                <w:highlight w:val="none"/>
              </w:rPr>
            </w:pPr>
          </w:p>
        </w:tc>
        <w:tc>
          <w:tcPr>
            <w:tcW w:w="672" w:type="dxa"/>
            <w:tcBorders>
              <w:top w:val="single" w:color="000000" w:sz="4" w:space="0"/>
              <w:left w:val="single" w:color="000000" w:sz="4" w:space="0"/>
              <w:bottom w:val="single" w:color="000000" w:sz="4" w:space="0"/>
              <w:right w:val="single" w:color="000000" w:sz="4" w:space="0"/>
            </w:tcBorders>
            <w:vAlign w:val="center"/>
          </w:tcPr>
          <w:p w14:paraId="274182D8">
            <w:pPr>
              <w:spacing w:line="240" w:lineRule="auto"/>
              <w:ind w:firstLine="0" w:firstLineChars="0"/>
              <w:jc w:val="center"/>
              <w:rPr>
                <w:rFonts w:hint="default" w:ascii="Times New Roman" w:hAnsi="Times New Roman" w:eastAsia="仿宋_GB2312" w:cs="Times New Roman"/>
                <w:b/>
                <w:bCs/>
                <w:color w:val="auto"/>
                <w:sz w:val="21"/>
                <w:szCs w:val="21"/>
                <w:highlight w:val="none"/>
              </w:rPr>
            </w:pPr>
          </w:p>
        </w:tc>
        <w:tc>
          <w:tcPr>
            <w:tcW w:w="1051" w:type="dxa"/>
            <w:tcBorders>
              <w:top w:val="single" w:color="000000" w:sz="4" w:space="0"/>
              <w:left w:val="single" w:color="000000" w:sz="4" w:space="0"/>
              <w:bottom w:val="single" w:color="000000" w:sz="4" w:space="0"/>
              <w:right w:val="single" w:color="000000" w:sz="4" w:space="0"/>
            </w:tcBorders>
            <w:vAlign w:val="center"/>
          </w:tcPr>
          <w:p w14:paraId="0A7297B2">
            <w:pPr>
              <w:spacing w:line="240" w:lineRule="auto"/>
              <w:ind w:firstLine="0" w:firstLineChars="0"/>
              <w:jc w:val="center"/>
              <w:rPr>
                <w:rFonts w:hint="default" w:ascii="Times New Roman" w:hAnsi="Times New Roman" w:eastAsia="仿宋_GB2312" w:cs="Times New Roman"/>
                <w:b/>
                <w:bCs/>
                <w:color w:val="auto"/>
                <w:sz w:val="21"/>
                <w:szCs w:val="21"/>
                <w:highlight w:val="none"/>
              </w:rPr>
            </w:pPr>
          </w:p>
        </w:tc>
      </w:tr>
    </w:tbl>
    <w:p w14:paraId="2EFBAE76">
      <w:pPr>
        <w:spacing w:line="240" w:lineRule="auto"/>
        <w:ind w:firstLine="0" w:firstLineChars="0"/>
        <w:rPr>
          <w:rFonts w:hint="default" w:ascii="Times New Roman" w:hAnsi="Times New Roman" w:eastAsia="Times New Roman" w:cs="Times New Roman"/>
          <w:color w:val="auto"/>
          <w:sz w:val="21"/>
          <w:highlight w:val="none"/>
        </w:rPr>
      </w:pPr>
    </w:p>
    <w:p w14:paraId="4E4B9634">
      <w:pPr>
        <w:pStyle w:val="14"/>
        <w:rPr>
          <w:rFonts w:hint="default" w:ascii="Times New Roman" w:hAnsi="Times New Roman"/>
          <w:color w:val="auto"/>
          <w:highlight w:val="none"/>
        </w:rPr>
      </w:pPr>
    </w:p>
    <w:p w14:paraId="29C2E251">
      <w:pPr>
        <w:bidi w:val="0"/>
        <w:ind w:firstLine="643" w:firstLineChars="200"/>
        <w:rPr>
          <w:rFonts w:hint="default" w:ascii="Times New Roman" w:hAnsi="Times New Roman"/>
          <w:color w:val="auto"/>
          <w:highlight w:val="none"/>
          <w:lang w:val="en-US" w:eastAsia="zh-CN"/>
        </w:rPr>
      </w:pPr>
      <w:bookmarkStart w:id="48" w:name="_Toc1442"/>
      <w:r>
        <w:rPr>
          <w:rFonts w:hint="eastAsia" w:ascii="Times New Roman" w:hAnsi="Times New Roman"/>
          <w:b/>
          <w:bCs/>
          <w:color w:val="auto"/>
          <w:highlight w:val="none"/>
          <w:lang w:val="en-US" w:eastAsia="zh-CN"/>
        </w:rPr>
        <w:t>四是</w:t>
      </w:r>
      <w:r>
        <w:rPr>
          <w:rFonts w:hint="default" w:ascii="Times New Roman" w:hAnsi="Times New Roman"/>
          <w:b/>
          <w:bCs/>
          <w:color w:val="auto"/>
          <w:highlight w:val="none"/>
        </w:rPr>
        <w:t>科技支撑政策</w:t>
      </w:r>
      <w:bookmarkEnd w:id="48"/>
      <w:r>
        <w:rPr>
          <w:rFonts w:hint="eastAsia" w:ascii="Times New Roman" w:hAnsi="Times New Roman"/>
          <w:b/>
          <w:bCs/>
          <w:color w:val="auto"/>
          <w:highlight w:val="none"/>
          <w:lang w:eastAsia="zh-CN"/>
        </w:rPr>
        <w:t>。</w:t>
      </w:r>
      <w:r>
        <w:rPr>
          <w:rFonts w:hint="eastAsia" w:ascii="Times New Roman" w:hAnsi="Times New Roman"/>
          <w:color w:val="auto"/>
          <w:highlight w:val="none"/>
          <w:lang w:val="en-US" w:eastAsia="zh-CN"/>
        </w:rPr>
        <w:t>产业园已贯彻执行国家、省、市促进创新发展的一系列政策法规，制定出台实施创新驱动发展战略加快建设创新型澄海的相关政策，执行落实研发费用加计扣除、高新技术企业税收优惠等政策。拥有</w:t>
      </w:r>
      <w:r>
        <w:rPr>
          <w:rFonts w:hint="default" w:ascii="Times New Roman" w:hAnsi="Times New Roman"/>
          <w:b w:val="0"/>
          <w:bCs w:val="0"/>
          <w:color w:val="auto"/>
          <w:highlight w:val="none"/>
        </w:rPr>
        <w:t>全国首</w:t>
      </w:r>
      <w:r>
        <w:rPr>
          <w:rFonts w:hint="eastAsia" w:ascii="Times New Roman" w:hAnsi="Times New Roman"/>
          <w:b w:val="0"/>
          <w:bCs w:val="0"/>
          <w:color w:val="auto"/>
          <w:highlight w:val="none"/>
          <w:lang w:val="en-US" w:eastAsia="zh-CN"/>
        </w:rPr>
        <w:t>批</w:t>
      </w:r>
      <w:r>
        <w:rPr>
          <w:rFonts w:hint="default" w:ascii="Times New Roman" w:hAnsi="Times New Roman"/>
          <w:b w:val="0"/>
          <w:bCs w:val="0"/>
          <w:color w:val="auto"/>
          <w:highlight w:val="none"/>
        </w:rPr>
        <w:t>国家级畜禽遗传资源保种场—汕头市白沙禽畜原种研究所狮头鹅保种场</w:t>
      </w:r>
      <w:r>
        <w:rPr>
          <w:rFonts w:hint="eastAsia" w:ascii="Times New Roman" w:hAnsi="Times New Roman"/>
          <w:b w:val="0"/>
          <w:bCs w:val="0"/>
          <w:color w:val="auto"/>
          <w:highlight w:val="none"/>
          <w:lang w:eastAsia="zh-CN"/>
        </w:rPr>
        <w:t>，</w:t>
      </w:r>
      <w:r>
        <w:rPr>
          <w:rFonts w:hint="default" w:ascii="Times New Roman" w:hAnsi="Times New Roman"/>
          <w:color w:val="auto"/>
          <w:highlight w:val="none"/>
        </w:rPr>
        <w:t>主要承担国家级狮头鹅品种资源的保护工作</w:t>
      </w:r>
      <w:r>
        <w:rPr>
          <w:rFonts w:hint="eastAsia" w:ascii="Times New Roman" w:hAnsi="Times New Roman"/>
          <w:color w:val="auto"/>
          <w:highlight w:val="none"/>
          <w:lang w:eastAsia="zh-CN"/>
        </w:rPr>
        <w:t>，</w:t>
      </w:r>
      <w:r>
        <w:rPr>
          <w:rFonts w:hint="default" w:ascii="Times New Roman" w:hAnsi="Times New Roman"/>
          <w:color w:val="auto"/>
          <w:highlight w:val="none"/>
        </w:rPr>
        <w:t>在狮头鹅保种、育种方面有60多年的历史经验，技术水平国内外领先。拥有专业技术人员3</w:t>
      </w:r>
      <w:r>
        <w:rPr>
          <w:rFonts w:hint="eastAsia" w:ascii="Times New Roman" w:hAnsi="Times New Roman"/>
          <w:color w:val="auto"/>
          <w:highlight w:val="none"/>
          <w:lang w:val="en-US" w:eastAsia="zh-CN"/>
        </w:rPr>
        <w:t>4</w:t>
      </w:r>
      <w:r>
        <w:rPr>
          <w:rFonts w:hint="default" w:ascii="Times New Roman" w:hAnsi="Times New Roman"/>
          <w:color w:val="auto"/>
          <w:highlight w:val="none"/>
        </w:rPr>
        <w:t>名（其中高级职称11名，中级职称5名，研究生1名），科技人才实力雄厚。</w:t>
      </w:r>
      <w:r>
        <w:rPr>
          <w:rFonts w:hint="eastAsia" w:ascii="Times New Roman" w:hAnsi="Times New Roman"/>
          <w:color w:val="auto"/>
          <w:highlight w:val="none"/>
          <w:lang w:val="en-US" w:eastAsia="zh-CN"/>
        </w:rPr>
        <w:t>设立高新技术企业和研发机构、创新平台认定后补助等补助，夯实科技创新基础。制定出台《汕头市澄海区科技创新扶持政策措施（2023—2025年）》，在培育壮大科技型企业、促进科技成果转化和产业化、推进科技创新平台载体建设、完善科技创新人才服务四个重点方面给予扶持并指明发展方向，对于首次被认定为高新技术的企业给予一次性奖励7万元，以专项形式支持企业联合科研院所联合承担基础研究、关键核心技术攻关等重大科技计划项目，鼓励境内外知名高校、科研院所、世界500强企业、中央企业等来澄设立区域研发中心或创新研究院，对首次认定的市级工程技术研究中心一次性给予2万元经费补助。实施《澄海区支持省级现代农业产业园建设政策措施》，重点支持园区企业技术创新、科技成果转化和政产学研合作、科技创新平台建设、重大科技项目实施、知识产权保护等。对于企业或者非企业获得国内外发明专利授权给予一定奖励。</w:t>
      </w:r>
    </w:p>
    <w:p w14:paraId="51B9474C">
      <w:pPr>
        <w:bidi w:val="0"/>
        <w:rPr>
          <w:rFonts w:hint="default" w:ascii="Times New Roman" w:hAnsi="Times New Roman"/>
          <w:b w:val="0"/>
          <w:bCs w:val="0"/>
          <w:color w:val="auto"/>
          <w:highlight w:val="none"/>
          <w:lang w:val="en-US" w:eastAsia="zh-CN"/>
        </w:rPr>
      </w:pPr>
      <w:bookmarkStart w:id="49" w:name="_Toc14189"/>
      <w:r>
        <w:rPr>
          <w:rFonts w:hint="eastAsia" w:ascii="Times New Roman" w:hAnsi="Times New Roman"/>
          <w:b/>
          <w:bCs/>
          <w:color w:val="auto"/>
          <w:highlight w:val="none"/>
          <w:lang w:val="en-US" w:eastAsia="zh-CN"/>
        </w:rPr>
        <w:t>五是</w:t>
      </w:r>
      <w:r>
        <w:rPr>
          <w:rFonts w:hint="default" w:ascii="Times New Roman" w:hAnsi="Times New Roman"/>
          <w:b/>
          <w:bCs/>
          <w:color w:val="auto"/>
          <w:highlight w:val="none"/>
        </w:rPr>
        <w:t>人才激励政策</w:t>
      </w:r>
      <w:bookmarkEnd w:id="49"/>
      <w:r>
        <w:rPr>
          <w:rFonts w:hint="eastAsia" w:ascii="Times New Roman" w:hAnsi="Times New Roman"/>
          <w:b/>
          <w:bCs/>
          <w:color w:val="auto"/>
          <w:highlight w:val="none"/>
          <w:lang w:eastAsia="zh-CN"/>
        </w:rPr>
        <w:t>。</w:t>
      </w:r>
      <w:r>
        <w:rPr>
          <w:rFonts w:hint="eastAsia" w:ascii="Times New Roman" w:hAnsi="Times New Roman"/>
          <w:b/>
          <w:bCs/>
          <w:color w:val="auto"/>
          <w:highlight w:val="none"/>
          <w:lang w:val="en-US" w:eastAsia="zh-CN"/>
        </w:rPr>
        <w:t>市级层面</w:t>
      </w:r>
      <w:r>
        <w:rPr>
          <w:rFonts w:hint="eastAsia" w:ascii="Times New Roman" w:hAnsi="Times New Roman"/>
          <w:b w:val="0"/>
          <w:bCs w:val="0"/>
          <w:color w:val="auto"/>
          <w:highlight w:val="none"/>
          <w:lang w:val="en-US" w:eastAsia="zh-CN"/>
        </w:rPr>
        <w:t>，2022年印发实施《汕头市人民政府印发汕头市关于加快建设国家创新型城市的若干政策措施的通知》（汕府〔2022〕105号），通过引进科技创新领军人才和创新团队、鼓励青年科技人才开展技术攻关、实施能工巧匠进校园计划、加强科技人才服务、加强人才住房建设五个方面支持。2023年印发实施《中共汕头市委印发〈关于加快新时代人才强市建设的实施意见〉的通知》（汕市发〔2023〕5号），明确了新时代人才强市建设的“施工图”。汕头市财政每年将拿出3亿元作为人才发展专项资金，全面兑现人才政策红利。同年，实施《汕头经济特区乡村振兴实施条例》，采取措施培育更多有文化、懂技术、善经营、会管理的高素质农民、新型农业经营主体带头人、农业经理人、电子商务人才等，助力乡村振兴。引导和支持大学毕业生到乡、能人回乡、农民工返乡、企业家入乡创业兴业。农业农村主管部门应当会同科技等有关部门定期组织农业科研人员、科技特派员等农业技术人员联系乡村，通过派驻专家、下乡指导、技术培训、定向帮扶等形式，为农户提供优良选种、病虫害防治、测土配方施肥、节水灌溉、科学养殖等技术服务。对做出显著成绩的农业科研人员、科技特派员等农业技术人员，可以给予表彰和奖励。2023年，汕头全市共有博士博士后1752名，专业技术人员中副高以上职称76000名，入选国家重大人才工程14名，入选省级重大人才工程457名，认定汕头市高层次人才1776名。</w:t>
      </w:r>
      <w:r>
        <w:rPr>
          <w:rFonts w:hint="eastAsia" w:ascii="Times New Roman" w:hAnsi="Times New Roman"/>
          <w:b/>
          <w:bCs/>
          <w:color w:val="auto"/>
          <w:highlight w:val="none"/>
          <w:lang w:val="en-US" w:eastAsia="zh-CN"/>
        </w:rPr>
        <w:t>区级层面，</w:t>
      </w:r>
      <w:r>
        <w:rPr>
          <w:rFonts w:hint="eastAsia" w:ascii="Times New Roman" w:hAnsi="Times New Roman"/>
          <w:b w:val="0"/>
          <w:bCs w:val="0"/>
          <w:color w:val="auto"/>
          <w:highlight w:val="none"/>
          <w:lang w:val="en-US" w:eastAsia="zh-CN"/>
        </w:rPr>
        <w:t>2023年印发实施《澄海区支持省级现代农业产业园建设政策措施》，提出聘请专家教授，负责指导全区农业产业园的发展工作，与科研、教学和技术推广单位建立长期稳定合作关系，鼓励高等院校、科研机构和科技人员进园区、搞服务、创新创业，按照有关政策优先评选科研成果，优先给予政策支持。同年，实施《汕头市澄海区科技创新扶持政策措施（2023—2025年）》，对符合条件的高层次人才和团队核心成员，在符合相关规定情况下，本人及其家属入户予以及时办理、子女入学给予优先安排、就医看病开通绿色通道服务。按照职住平衡、就近建设、定向供应的原则，在城区、工业园区等人才密集区建设产权型或租赁型人才住房。</w:t>
      </w:r>
    </w:p>
    <w:p w14:paraId="48A1A101">
      <w:pPr>
        <w:bidi w:val="0"/>
        <w:rPr>
          <w:rFonts w:hint="default" w:ascii="Times New Roman" w:hAnsi="Times New Roman"/>
          <w:color w:val="auto"/>
          <w:highlight w:val="none"/>
        </w:rPr>
      </w:pPr>
      <w:bookmarkStart w:id="50" w:name="_Toc24487"/>
      <w:r>
        <w:rPr>
          <w:rFonts w:hint="eastAsia" w:ascii="Times New Roman" w:hAnsi="Times New Roman"/>
          <w:b/>
          <w:bCs/>
          <w:color w:val="auto"/>
          <w:highlight w:val="none"/>
          <w:lang w:val="en-US" w:eastAsia="zh-CN"/>
        </w:rPr>
        <w:t>六是</w:t>
      </w:r>
      <w:r>
        <w:rPr>
          <w:rFonts w:hint="default" w:ascii="Times New Roman" w:hAnsi="Times New Roman"/>
          <w:b/>
          <w:bCs/>
          <w:color w:val="auto"/>
          <w:highlight w:val="none"/>
        </w:rPr>
        <w:t>环保政策</w:t>
      </w:r>
      <w:bookmarkEnd w:id="50"/>
      <w:r>
        <w:rPr>
          <w:rFonts w:hint="eastAsia" w:ascii="Times New Roman" w:hAnsi="Times New Roman"/>
          <w:b/>
          <w:bCs/>
          <w:color w:val="auto"/>
          <w:highlight w:val="none"/>
          <w:lang w:eastAsia="zh-CN"/>
        </w:rPr>
        <w:t>。</w:t>
      </w:r>
      <w:r>
        <w:rPr>
          <w:rFonts w:hint="default" w:ascii="Times New Roman" w:hAnsi="Times New Roman"/>
          <w:color w:val="auto"/>
          <w:highlight w:val="none"/>
        </w:rPr>
        <w:t>建立完善了政府及环保部门的监督与问责制度。针对产业园内用地、环保等方面监督力度，实行项目差别化供地方式。推动产业园围绕“农业资源利用高效化、产业配置最优化、产业链发展循环化”发展方向，加大农业结构调整与科研投入力度，支持发展环境友好型的现代种养殖产业，支持企业广泛采用清洁生产工艺，实现绿色生产、绿色营销，以科技含量高、附加值大、消耗少来提高产业园经济发展质量。扶持智能化、低碳化的农产品精深加工等高端农业，以绿色创新能力推进产业园资源环境与农业全产业链协调发展。进一步加强澄海区死亡禽畜和农业废弃物无害化处理整治工作，有效打击养殖业废水、废弃物直排入河和死亡禽畜随意丢弃等违法行为，清除污染隐患，保护生态环境，2019年2月，澄海区信息中心发布《印发汕头市澄海区死亡禽畜和农业废弃物无害化处理专项整治检查工作方案的通知》（汕澄府办〔2019〕4号），推进死亡禽畜进行无害化处理，进一步推进五清专项行动，同时，通过宣传发动、分发告知承诺书，促进养殖企业和养殖户自觉整改，鼓励群众参与监督。</w:t>
      </w:r>
    </w:p>
    <w:p w14:paraId="1A7A931F">
      <w:pPr>
        <w:pStyle w:val="4"/>
        <w:rPr>
          <w:rFonts w:hint="eastAsia" w:ascii="Times New Roman" w:hAnsi="Times New Roman" w:cs="仿宋_GB2312"/>
          <w:b/>
          <w:bCs w:val="0"/>
          <w:color w:val="auto"/>
          <w:szCs w:val="32"/>
          <w:highlight w:val="none"/>
          <w:lang w:val="en-US" w:eastAsia="zh-CN"/>
        </w:rPr>
      </w:pPr>
      <w:bookmarkStart w:id="51" w:name="_Toc18056"/>
      <w:bookmarkStart w:id="52" w:name="_Toc12336"/>
      <w:bookmarkStart w:id="53" w:name="_Toc6360"/>
      <w:bookmarkStart w:id="54" w:name="_Toc12478"/>
      <w:r>
        <w:rPr>
          <w:rFonts w:hint="eastAsia" w:ascii="Times New Roman" w:hAnsi="Times New Roman" w:eastAsia="仿宋_GB2312" w:cs="仿宋_GB2312"/>
          <w:b/>
          <w:bCs w:val="0"/>
          <w:color w:val="auto"/>
          <w:szCs w:val="32"/>
          <w:highlight w:val="none"/>
          <w:lang w:val="en-US" w:eastAsia="zh-CN"/>
        </w:rPr>
        <w:t>9.</w:t>
      </w:r>
      <w:r>
        <w:rPr>
          <w:rFonts w:hint="eastAsia" w:ascii="Times New Roman" w:hAnsi="Times New Roman" w:cs="仿宋_GB2312"/>
          <w:b/>
          <w:bCs w:val="0"/>
          <w:color w:val="auto"/>
          <w:szCs w:val="32"/>
          <w:highlight w:val="none"/>
          <w:lang w:val="en-US" w:eastAsia="zh-CN"/>
        </w:rPr>
        <w:t>组织管理机制健全</w:t>
      </w:r>
      <w:bookmarkEnd w:id="51"/>
      <w:bookmarkEnd w:id="52"/>
      <w:bookmarkEnd w:id="53"/>
      <w:bookmarkEnd w:id="54"/>
    </w:p>
    <w:p w14:paraId="2A038EA1">
      <w:pPr>
        <w:bidi w:val="0"/>
        <w:rPr>
          <w:rFonts w:hint="default" w:ascii="Times New Roman" w:hAnsi="Times New Roman"/>
          <w:b w:val="0"/>
          <w:bCs w:val="0"/>
          <w:color w:val="auto"/>
          <w:highlight w:val="none"/>
          <w:lang w:val="en-US" w:eastAsia="zh-CN"/>
        </w:rPr>
      </w:pPr>
      <w:bookmarkStart w:id="55" w:name="_Toc22423"/>
      <w:r>
        <w:rPr>
          <w:rFonts w:hint="eastAsia" w:ascii="Times New Roman" w:hAnsi="Times New Roman"/>
          <w:b w:val="0"/>
          <w:bCs w:val="0"/>
          <w:color w:val="auto"/>
          <w:highlight w:val="none"/>
          <w:lang w:val="en-US" w:eastAsia="zh-CN"/>
        </w:rPr>
        <w:t>为保障狮头鹅产业的发展，澄海区委区政府构建“产业园领导小组+管委会+产业发展协会+科研支撑（白沙所）+经营主体+农户”六位一体服务管理机制。</w:t>
      </w:r>
    </w:p>
    <w:p w14:paraId="193524B3">
      <w:pPr>
        <w:bidi w:val="0"/>
        <w:rPr>
          <w:rFonts w:hint="default" w:ascii="Times New Roman" w:hAnsi="Times New Roman"/>
          <w:color w:val="auto"/>
          <w:highlight w:val="none"/>
        </w:rPr>
      </w:pPr>
      <w:r>
        <w:rPr>
          <w:rFonts w:hint="eastAsia" w:ascii="Times New Roman" w:hAnsi="Times New Roman"/>
          <w:b/>
          <w:bCs/>
          <w:color w:val="auto"/>
          <w:highlight w:val="none"/>
          <w:lang w:val="en-US" w:eastAsia="zh-CN"/>
        </w:rPr>
        <w:t>一是</w:t>
      </w:r>
      <w:r>
        <w:rPr>
          <w:rFonts w:hint="default" w:ascii="Times New Roman" w:hAnsi="Times New Roman"/>
          <w:b/>
          <w:bCs/>
          <w:color w:val="auto"/>
          <w:highlight w:val="none"/>
        </w:rPr>
        <w:t>成立产业园建设领导小组</w:t>
      </w:r>
      <w:bookmarkEnd w:id="55"/>
      <w:r>
        <w:rPr>
          <w:rFonts w:hint="eastAsia" w:ascii="Times New Roman" w:hAnsi="Times New Roman"/>
          <w:b/>
          <w:bCs/>
          <w:color w:val="auto"/>
          <w:highlight w:val="none"/>
          <w:lang w:eastAsia="zh-CN"/>
        </w:rPr>
        <w:t>。</w:t>
      </w:r>
      <w:r>
        <w:rPr>
          <w:rFonts w:hint="default" w:ascii="Times New Roman" w:hAnsi="Times New Roman"/>
          <w:color w:val="auto"/>
          <w:highlight w:val="none"/>
        </w:rPr>
        <w:t>为切实抓好产业园</w:t>
      </w:r>
      <w:r>
        <w:rPr>
          <w:rFonts w:hint="eastAsia" w:ascii="Times New Roman" w:hAnsi="Times New Roman"/>
          <w:color w:val="auto"/>
          <w:highlight w:val="none"/>
          <w:lang w:eastAsia="zh-CN"/>
        </w:rPr>
        <w:t>建设</w:t>
      </w:r>
      <w:r>
        <w:rPr>
          <w:rFonts w:hint="default" w:ascii="Times New Roman" w:hAnsi="Times New Roman"/>
          <w:color w:val="auto"/>
          <w:highlight w:val="none"/>
        </w:rPr>
        <w:t>工作，澄海区人民政府专门成立广东省汕头市澄海区国家现代农业产业园建设领导小组，由区长任组长，副区长任副组长，区农业农村局、区财政局、区发改局、区文化广电旅游体育局、区自然资源分局、区生态环境分局、区水务局、区住建局、区交通运输局、区</w:t>
      </w:r>
      <w:r>
        <w:rPr>
          <w:rFonts w:hint="eastAsia" w:ascii="Times New Roman" w:hAnsi="Times New Roman"/>
          <w:color w:val="auto"/>
          <w:highlight w:val="none"/>
          <w:lang w:eastAsia="zh-CN"/>
        </w:rPr>
        <w:t>市场监管局</w:t>
      </w:r>
      <w:r>
        <w:rPr>
          <w:rFonts w:hint="default" w:ascii="Times New Roman" w:hAnsi="Times New Roman"/>
          <w:color w:val="auto"/>
          <w:highlight w:val="none"/>
        </w:rPr>
        <w:t>、区工信局等主要负责人为领导小组成员。领导小组负责产业园区建设的领导、组织和协调、统筹工作，研究解决项目实施中的重大问题，落实项目建设资金，监督、检查项目的实施情况。领导小组下设办公室（设于区农业农村局），办公室主要职责是负责项目的规划实施，项目资金的使用以及项目建成后的运行管理，督促项目实施建设的顺利开展等。</w:t>
      </w:r>
    </w:p>
    <w:p w14:paraId="4269406C">
      <w:pPr>
        <w:bidi w:val="0"/>
        <w:rPr>
          <w:rFonts w:hint="default" w:ascii="Times New Roman" w:hAnsi="Times New Roman"/>
          <w:color w:val="auto"/>
          <w:highlight w:val="none"/>
        </w:rPr>
      </w:pPr>
      <w:bookmarkStart w:id="56" w:name="_Toc7314"/>
      <w:r>
        <w:rPr>
          <w:rFonts w:hint="eastAsia" w:ascii="Times New Roman" w:hAnsi="Times New Roman"/>
          <w:b/>
          <w:bCs/>
          <w:color w:val="auto"/>
          <w:highlight w:val="none"/>
          <w:lang w:val="en-US" w:eastAsia="zh-CN"/>
        </w:rPr>
        <w:t>二是</w:t>
      </w:r>
      <w:r>
        <w:rPr>
          <w:rFonts w:hint="default" w:ascii="Times New Roman" w:hAnsi="Times New Roman"/>
          <w:b/>
          <w:bCs/>
          <w:color w:val="auto"/>
          <w:highlight w:val="none"/>
        </w:rPr>
        <w:t>成立产业园管委会</w:t>
      </w:r>
      <w:bookmarkEnd w:id="56"/>
      <w:r>
        <w:rPr>
          <w:rFonts w:hint="eastAsia" w:ascii="Times New Roman" w:hAnsi="Times New Roman"/>
          <w:b/>
          <w:bCs/>
          <w:color w:val="auto"/>
          <w:highlight w:val="none"/>
          <w:lang w:eastAsia="zh-CN"/>
        </w:rPr>
        <w:t>。</w:t>
      </w:r>
      <w:r>
        <w:rPr>
          <w:rFonts w:hint="default" w:ascii="Times New Roman" w:hAnsi="Times New Roman"/>
          <w:color w:val="auto"/>
          <w:highlight w:val="none"/>
        </w:rPr>
        <w:t>在</w:t>
      </w:r>
      <w:r>
        <w:rPr>
          <w:rFonts w:hint="eastAsia" w:ascii="Times New Roman" w:hAnsi="Times New Roman"/>
          <w:color w:val="auto"/>
          <w:highlight w:val="none"/>
          <w:lang w:eastAsia="zh-CN"/>
        </w:rPr>
        <w:t>建设</w:t>
      </w:r>
      <w:r>
        <w:rPr>
          <w:rFonts w:hint="default" w:ascii="Times New Roman" w:hAnsi="Times New Roman"/>
          <w:color w:val="auto"/>
          <w:highlight w:val="none"/>
        </w:rPr>
        <w:t>国家现代农业产业园工作领导小组基础上，成立了现代农业产业园管委会，在产业园工作领导小组的领导下开展工作，在人员和工作经费上给予层层保障，负责产业园建设的日常工作。按照政府的有关政策、法规和产业园规划的要求，管理委员会落实产业园的建设方案，</w:t>
      </w:r>
      <w:r>
        <w:rPr>
          <w:rFonts w:hint="eastAsia" w:ascii="Times New Roman" w:hAnsi="Times New Roman"/>
          <w:color w:val="auto"/>
          <w:highlight w:val="none"/>
          <w:lang w:eastAsia="zh-CN"/>
        </w:rPr>
        <w:t>制定</w:t>
      </w:r>
      <w:r>
        <w:rPr>
          <w:rFonts w:hint="default" w:ascii="Times New Roman" w:hAnsi="Times New Roman"/>
          <w:color w:val="auto"/>
          <w:highlight w:val="none"/>
        </w:rPr>
        <w:t>各项管理办法，为入园企业、技术部门、合作组织和农户等搭建良好的合作平台，为他们提供各项后勤保障和公共服务，协助解决农企矛盾，为企业的发展保驾护航，保障了企业的正常运转。形成了“纵横有序、各司其职、密切配合、通力协作”的工作机制，可作为现代农业产业园的示范样板。</w:t>
      </w:r>
    </w:p>
    <w:p w14:paraId="2C5E50DD">
      <w:pPr>
        <w:bidi w:val="0"/>
        <w:rPr>
          <w:rFonts w:hint="default" w:ascii="Times New Roman" w:hAnsi="Times New Roman"/>
          <w:color w:val="auto"/>
          <w:highlight w:val="none"/>
        </w:rPr>
      </w:pPr>
      <w:bookmarkStart w:id="57" w:name="_Toc18790"/>
      <w:r>
        <w:rPr>
          <w:rFonts w:hint="eastAsia" w:ascii="Times New Roman" w:hAnsi="Times New Roman"/>
          <w:b/>
          <w:bCs/>
          <w:color w:val="auto"/>
          <w:highlight w:val="none"/>
          <w:lang w:val="en-US" w:eastAsia="zh-CN"/>
        </w:rPr>
        <w:t>三是</w:t>
      </w:r>
      <w:r>
        <w:rPr>
          <w:rFonts w:hint="default" w:ascii="Times New Roman" w:hAnsi="Times New Roman"/>
          <w:b/>
          <w:bCs/>
          <w:color w:val="auto"/>
          <w:highlight w:val="none"/>
        </w:rPr>
        <w:t>成立狮头鹅产业发展协会</w:t>
      </w:r>
      <w:bookmarkEnd w:id="57"/>
      <w:r>
        <w:rPr>
          <w:rFonts w:hint="eastAsia" w:ascii="Times New Roman" w:hAnsi="Times New Roman"/>
          <w:b/>
          <w:bCs/>
          <w:color w:val="auto"/>
          <w:highlight w:val="none"/>
          <w:lang w:eastAsia="zh-CN"/>
        </w:rPr>
        <w:t>。</w:t>
      </w:r>
      <w:r>
        <w:rPr>
          <w:rFonts w:hint="default" w:ascii="Times New Roman" w:hAnsi="Times New Roman"/>
          <w:color w:val="auto"/>
          <w:highlight w:val="none"/>
        </w:rPr>
        <w:t>为促进澄海区狮头鹅产业发展，引导行业守法经营，抱团发展，为企业营造互相促进、共同发展的环境氛围，</w:t>
      </w:r>
      <w:r>
        <w:rPr>
          <w:rFonts w:hint="eastAsia" w:ascii="Times New Roman" w:hAnsi="Times New Roman"/>
          <w:color w:val="auto"/>
          <w:highlight w:val="none"/>
          <w:lang w:val="en-US" w:eastAsia="zh-CN"/>
        </w:rPr>
        <w:t>成立了汕头市狮头鹅产业协会和澄海区狮头鹅产业协会，</w:t>
      </w:r>
      <w:r>
        <w:rPr>
          <w:rFonts w:hint="default" w:ascii="Times New Roman" w:hAnsi="Times New Roman"/>
          <w:color w:val="auto"/>
          <w:highlight w:val="none"/>
        </w:rPr>
        <w:t>狮头鹅协会围绕澄海狮头鹅农业产业，进一步推动现代特色农业产业发展，打响区域特色产业品牌知名度；探索新思路，推进狮头鹅健康养殖</w:t>
      </w:r>
      <w:r>
        <w:rPr>
          <w:rFonts w:hint="eastAsia" w:ascii="Times New Roman" w:hAnsi="Times New Roman"/>
          <w:color w:val="auto"/>
          <w:highlight w:val="none"/>
          <w:lang w:eastAsia="zh-CN"/>
        </w:rPr>
        <w:t>；</w:t>
      </w:r>
      <w:r>
        <w:rPr>
          <w:rFonts w:hint="default" w:ascii="Times New Roman" w:hAnsi="Times New Roman"/>
          <w:color w:val="auto"/>
          <w:highlight w:val="none"/>
        </w:rPr>
        <w:t>制定发布《澄海狮头鹅卤制技术规范》团体标准、《狮头鹅屠宰技术规范》地方标准；举办“澄海最大狮头鹅评选活动”；大力发展跨境电商，全面展示狮头鹅产业形象；协会还积极组织对外交流，为狮头鹅产业今后的发展提供新思路。</w:t>
      </w:r>
    </w:p>
    <w:p w14:paraId="744F014F">
      <w:pPr>
        <w:bidi w:val="0"/>
        <w:rPr>
          <w:rFonts w:hint="default" w:ascii="Times New Roman" w:hAnsi="Times New Roman"/>
          <w:color w:val="auto"/>
          <w:highlight w:val="none"/>
        </w:rPr>
      </w:pPr>
      <w:bookmarkStart w:id="58" w:name="_Toc4429"/>
      <w:r>
        <w:rPr>
          <w:rFonts w:hint="eastAsia" w:ascii="Times New Roman" w:hAnsi="Times New Roman"/>
          <w:b/>
          <w:bCs/>
          <w:color w:val="auto"/>
          <w:highlight w:val="none"/>
          <w:lang w:val="en-US" w:eastAsia="zh-CN"/>
        </w:rPr>
        <w:t>四是</w:t>
      </w:r>
      <w:r>
        <w:rPr>
          <w:rFonts w:hint="default" w:ascii="Times New Roman" w:hAnsi="Times New Roman"/>
          <w:b/>
          <w:bCs/>
          <w:color w:val="auto"/>
          <w:highlight w:val="none"/>
        </w:rPr>
        <w:t>建立工作考核管理机制</w:t>
      </w:r>
      <w:bookmarkEnd w:id="58"/>
      <w:r>
        <w:rPr>
          <w:rFonts w:hint="eastAsia" w:ascii="Times New Roman" w:hAnsi="Times New Roman"/>
          <w:b/>
          <w:bCs/>
          <w:color w:val="auto"/>
          <w:highlight w:val="none"/>
          <w:lang w:eastAsia="zh-CN"/>
        </w:rPr>
        <w:t>。</w:t>
      </w:r>
      <w:r>
        <w:rPr>
          <w:rFonts w:hint="default" w:ascii="Times New Roman" w:hAnsi="Times New Roman"/>
          <w:color w:val="auto"/>
          <w:highlight w:val="none"/>
        </w:rPr>
        <w:t>澄海区专门印发《澄海区人民政府关于加快现代农业产业园建设工作的实施意见》，对当前及今后一段时期现代农业产业园的发展提出了明确目标定位，将现代农业产业园</w:t>
      </w:r>
      <w:r>
        <w:rPr>
          <w:rFonts w:hint="eastAsia" w:ascii="Times New Roman" w:hAnsi="Times New Roman"/>
          <w:color w:val="auto"/>
          <w:highlight w:val="none"/>
          <w:lang w:eastAsia="zh-CN"/>
        </w:rPr>
        <w:t>建设</w:t>
      </w:r>
      <w:r>
        <w:rPr>
          <w:rFonts w:hint="default" w:ascii="Times New Roman" w:hAnsi="Times New Roman"/>
          <w:color w:val="auto"/>
          <w:highlight w:val="none"/>
        </w:rPr>
        <w:t>与乡村振兴战略实施共同作为乡镇年终考核的两大主要指标，激发乡镇政府发展现代农业产业园的积极性，初步形成了现代农业产业园</w:t>
      </w:r>
      <w:r>
        <w:rPr>
          <w:rFonts w:hint="eastAsia" w:ascii="Times New Roman" w:hAnsi="Times New Roman"/>
          <w:color w:val="auto"/>
          <w:highlight w:val="none"/>
          <w:lang w:eastAsia="zh-CN"/>
        </w:rPr>
        <w:t>建设</w:t>
      </w:r>
      <w:r>
        <w:rPr>
          <w:rFonts w:hint="default" w:ascii="Times New Roman" w:hAnsi="Times New Roman"/>
          <w:color w:val="auto"/>
          <w:highlight w:val="none"/>
        </w:rPr>
        <w:t>工作的落实与考核机制，确保各项</w:t>
      </w:r>
      <w:r>
        <w:rPr>
          <w:rFonts w:hint="eastAsia" w:ascii="Times New Roman" w:hAnsi="Times New Roman"/>
          <w:color w:val="auto"/>
          <w:highlight w:val="none"/>
          <w:lang w:eastAsia="zh-CN"/>
        </w:rPr>
        <w:t>建设</w:t>
      </w:r>
      <w:r>
        <w:rPr>
          <w:rFonts w:hint="default" w:ascii="Times New Roman" w:hAnsi="Times New Roman"/>
          <w:color w:val="auto"/>
          <w:highlight w:val="none"/>
        </w:rPr>
        <w:t>工作落到实处。</w:t>
      </w:r>
    </w:p>
    <w:p w14:paraId="1AF1A9B6">
      <w:pPr>
        <w:bidi w:val="0"/>
        <w:rPr>
          <w:rFonts w:hint="default" w:ascii="Times New Roman" w:hAnsi="Times New Roman"/>
          <w:color w:val="auto"/>
          <w:highlight w:val="none"/>
        </w:rPr>
      </w:pPr>
      <w:bookmarkStart w:id="59" w:name="_Toc16625"/>
      <w:r>
        <w:rPr>
          <w:rFonts w:hint="eastAsia" w:ascii="Times New Roman" w:hAnsi="Times New Roman"/>
          <w:b/>
          <w:bCs/>
          <w:color w:val="auto"/>
          <w:highlight w:val="none"/>
          <w:lang w:val="en-US" w:eastAsia="zh-CN"/>
        </w:rPr>
        <w:t>五是</w:t>
      </w:r>
      <w:r>
        <w:rPr>
          <w:rFonts w:hint="default" w:ascii="Times New Roman" w:hAnsi="Times New Roman"/>
          <w:b/>
          <w:bCs/>
          <w:color w:val="auto"/>
          <w:highlight w:val="none"/>
        </w:rPr>
        <w:t>初步建立了市场化的开发运营机制</w:t>
      </w:r>
      <w:bookmarkEnd w:id="59"/>
      <w:r>
        <w:rPr>
          <w:rFonts w:hint="eastAsia" w:ascii="Times New Roman" w:hAnsi="Times New Roman"/>
          <w:b/>
          <w:bCs/>
          <w:color w:val="auto"/>
          <w:highlight w:val="none"/>
          <w:lang w:eastAsia="zh-CN"/>
        </w:rPr>
        <w:t>。</w:t>
      </w:r>
      <w:r>
        <w:rPr>
          <w:rFonts w:hint="default" w:ascii="Times New Roman" w:hAnsi="Times New Roman"/>
          <w:color w:val="auto"/>
          <w:highlight w:val="none"/>
        </w:rPr>
        <w:t>初步建立了以政府为引导、市场为主体、企业与农户等多方参与的产业园开发运营机制。政府依托产业园管委会重点强化对产业园的行政服务与政策引导，在土地流转、农村改革等方面提供制度保障与平台服务，为产业园提供秩序良好的开发运营环境；积极吸引龙头企业入驻产业园发展二三产业，强化企业的投资、创新等市场主体作用，放宽放活社会投资，激发民间投资潜力和创新活力。</w:t>
      </w:r>
    </w:p>
    <w:p w14:paraId="153C03D1">
      <w:pPr>
        <w:pStyle w:val="4"/>
        <w:pageBreakBefore w:val="0"/>
        <w:kinsoku/>
        <w:overflowPunct/>
        <w:topLinePunct w:val="0"/>
        <w:autoSpaceDE/>
        <w:autoSpaceDN/>
        <w:bidi w:val="0"/>
        <w:adjustRightInd/>
        <w:snapToGrid/>
        <w:spacing w:line="590" w:lineRule="exact"/>
        <w:outlineLvl w:val="1"/>
        <w:rPr>
          <w:rFonts w:hint="eastAsia" w:ascii="Times New Roman" w:hAnsi="Times New Roman" w:eastAsia="楷体_GB2312" w:cs="楷体_GB2312"/>
          <w:color w:val="auto"/>
          <w:sz w:val="32"/>
          <w:szCs w:val="22"/>
          <w:highlight w:val="none"/>
          <w:lang w:val="en-US" w:eastAsia="zh-CN"/>
        </w:rPr>
      </w:pPr>
      <w:bookmarkStart w:id="60" w:name="_Toc20498"/>
      <w:bookmarkStart w:id="61" w:name="_Toc17227"/>
      <w:bookmarkStart w:id="62" w:name="_Toc25156"/>
      <w:bookmarkStart w:id="63" w:name="_Toc6160"/>
      <w:bookmarkStart w:id="64" w:name="_Toc9282"/>
      <w:r>
        <w:rPr>
          <w:rFonts w:hint="eastAsia" w:ascii="Times New Roman" w:hAnsi="Times New Roman" w:eastAsia="楷体_GB2312" w:cs="楷体_GB2312"/>
          <w:color w:val="auto"/>
          <w:sz w:val="32"/>
          <w:szCs w:val="22"/>
          <w:highlight w:val="none"/>
          <w:lang w:val="en-US" w:eastAsia="zh-CN"/>
        </w:rPr>
        <w:t>（二）存在问题</w:t>
      </w:r>
      <w:bookmarkEnd w:id="60"/>
    </w:p>
    <w:p w14:paraId="004779A1">
      <w:pPr>
        <w:bidi w:val="0"/>
        <w:rPr>
          <w:rFonts w:hint="default" w:ascii="Times New Roman" w:hAnsi="Times New Roman" w:eastAsia="仿宋_GB2312" w:cs="Times New Roman"/>
          <w:color w:val="auto"/>
          <w:highlight w:val="none"/>
        </w:rPr>
      </w:pPr>
      <w:r>
        <w:rPr>
          <w:rFonts w:hint="eastAsia" w:ascii="Times New Roman" w:hAnsi="Times New Roman"/>
          <w:b/>
          <w:bCs/>
          <w:color w:val="auto"/>
          <w:highlight w:val="none"/>
          <w:lang w:val="en-US" w:eastAsia="zh-CN"/>
        </w:rPr>
        <w:t>一是</w:t>
      </w:r>
      <w:r>
        <w:rPr>
          <w:rFonts w:hint="default" w:ascii="Times New Roman" w:hAnsi="Times New Roman"/>
          <w:b/>
          <w:bCs/>
          <w:color w:val="auto"/>
          <w:highlight w:val="none"/>
          <w:lang w:val="en-US" w:eastAsia="zh-CN"/>
        </w:rPr>
        <w:t>资源环境约束不断加强，</w:t>
      </w:r>
      <w:r>
        <w:rPr>
          <w:rFonts w:hint="eastAsia" w:ascii="Times New Roman" w:hAnsi="Times New Roman"/>
          <w:b/>
          <w:bCs/>
          <w:color w:val="auto"/>
          <w:highlight w:val="none"/>
          <w:lang w:val="en-US" w:eastAsia="zh-CN"/>
        </w:rPr>
        <w:t>产业布局有待进一步优化</w:t>
      </w:r>
      <w:bookmarkEnd w:id="61"/>
      <w:bookmarkEnd w:id="62"/>
      <w:bookmarkEnd w:id="63"/>
      <w:bookmarkEnd w:id="64"/>
      <w:r>
        <w:rPr>
          <w:rFonts w:hint="eastAsia" w:ascii="Times New Roman" w:hAnsi="Times New Roman"/>
          <w:color w:val="auto"/>
          <w:highlight w:val="none"/>
          <w:lang w:val="en-US" w:eastAsia="zh-CN"/>
        </w:rPr>
        <w:t>。</w:t>
      </w:r>
      <w:r>
        <w:rPr>
          <w:rFonts w:hint="default" w:ascii="Times New Roman" w:hAnsi="Times New Roman"/>
          <w:color w:val="auto"/>
          <w:highlight w:val="none"/>
        </w:rPr>
        <w:t>随着环保标准的不断提高，狮头鹅养殖面临的资源环境压力持续加大，目前澄海区狮头鹅繁育与养殖基地通过规模养殖与环保设施建设并举，使畜禽粪便、污水得到无害化处理，显著降低环境污染，减少人、畜疾病发生，促进狮头鹅生产性能发挥</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用地规模较大</w:t>
      </w:r>
      <w:r>
        <w:rPr>
          <w:rFonts w:hint="default" w:ascii="Times New Roman" w:hAnsi="Times New Roman"/>
          <w:color w:val="auto"/>
          <w:highlight w:val="none"/>
        </w:rPr>
        <w:t>。</w:t>
      </w:r>
      <w:r>
        <w:rPr>
          <w:rFonts w:hint="eastAsia" w:ascii="Times New Roman" w:hAnsi="Times New Roman"/>
          <w:color w:val="auto"/>
          <w:highlight w:val="none"/>
          <w:lang w:val="en-US" w:eastAsia="zh-CN"/>
        </w:rPr>
        <w:t>但近年来，澄海区城镇化发展挤占农业设施用地，畜禽养殖禁养区划定后可用于养殖用地又减少，导致澄海狮头鹅养殖用地矛盾尤为突出。经过多年研究，狮头鹅旱养及小水体养殖技术已取得显著突破，在规模化生产中可行。因此需要适时调整产业布局，以先进技术推广缓解用地矛盾。</w:t>
      </w:r>
    </w:p>
    <w:p w14:paraId="6967A7DD">
      <w:pPr>
        <w:bidi w:val="0"/>
        <w:rPr>
          <w:rFonts w:hint="default" w:ascii="Times New Roman" w:hAnsi="Times New Roman"/>
          <w:color w:val="auto"/>
          <w:highlight w:val="none"/>
          <w:lang w:val="en-US" w:eastAsia="zh-CN"/>
        </w:rPr>
      </w:pPr>
      <w:bookmarkStart w:id="65" w:name="_Toc20053"/>
      <w:bookmarkStart w:id="66" w:name="_Toc13257"/>
      <w:bookmarkStart w:id="67" w:name="_Toc19682"/>
      <w:bookmarkStart w:id="68" w:name="_Toc22473"/>
      <w:r>
        <w:rPr>
          <w:rFonts w:hint="eastAsia" w:ascii="Times New Roman" w:hAnsi="Times New Roman"/>
          <w:b/>
          <w:bCs/>
          <w:color w:val="auto"/>
          <w:highlight w:val="none"/>
          <w:lang w:val="en-US" w:eastAsia="zh-CN"/>
        </w:rPr>
        <w:t>二是品种特性制约，澄海狮头鹅选育及科技研发水平还有待提升</w:t>
      </w:r>
      <w:bookmarkEnd w:id="65"/>
      <w:bookmarkEnd w:id="66"/>
      <w:bookmarkEnd w:id="67"/>
      <w:bookmarkEnd w:id="68"/>
      <w:r>
        <w:rPr>
          <w:rFonts w:hint="eastAsia" w:ascii="Times New Roman" w:hAnsi="Times New Roman"/>
          <w:b/>
          <w:bCs/>
          <w:color w:val="auto"/>
          <w:highlight w:val="none"/>
          <w:lang w:val="en-US" w:eastAsia="zh-CN"/>
        </w:rPr>
        <w:t>。</w:t>
      </w:r>
      <w:r>
        <w:rPr>
          <w:rFonts w:hint="default" w:ascii="Times New Roman" w:hAnsi="Times New Roman"/>
          <w:color w:val="auto"/>
          <w:highlight w:val="none"/>
          <w:lang w:val="en-US" w:eastAsia="zh-CN"/>
        </w:rPr>
        <w:t>重点加强对狮头鹅繁殖性能选育工作，提高狮头鹅繁殖力。根据市场及加工需求出发，定向培育生长速度快、繁殖性能高、饲料</w:t>
      </w:r>
      <w:r>
        <w:rPr>
          <w:rFonts w:hint="eastAsia" w:ascii="Times New Roman" w:hAnsi="Times New Roman"/>
          <w:color w:val="auto"/>
          <w:highlight w:val="none"/>
          <w:lang w:val="en-US" w:eastAsia="zh-CN"/>
        </w:rPr>
        <w:t>转化效率高、肉品质好、羽绒生长发育快、适合肥肝生长的各种专门化品系，开展配合力测定，培育能够满足区域性消费特点的鹅配套系</w:t>
      </w:r>
      <w:r>
        <w:rPr>
          <w:rFonts w:hint="default" w:ascii="Times New Roman" w:hAnsi="Times New Roman"/>
          <w:color w:val="auto"/>
          <w:highlight w:val="none"/>
          <w:lang w:val="en-US" w:eastAsia="zh-CN"/>
        </w:rPr>
        <w:t>，并做好配套系认定工作</w:t>
      </w:r>
      <w:r>
        <w:rPr>
          <w:rFonts w:hint="eastAsia" w:ascii="Times New Roman" w:hAnsi="Times New Roman"/>
          <w:color w:val="auto"/>
          <w:highlight w:val="none"/>
          <w:lang w:val="en-US" w:eastAsia="zh-CN"/>
        </w:rPr>
        <w:t>。</w:t>
      </w:r>
      <w:r>
        <w:rPr>
          <w:rFonts w:hint="default" w:ascii="Times New Roman" w:hAnsi="Times New Roman"/>
          <w:color w:val="auto"/>
          <w:highlight w:val="none"/>
          <w:lang w:val="en-US" w:eastAsia="zh-CN"/>
        </w:rPr>
        <w:t>建设高水平狮头鹅科技研发创新平台，重点突破制约狮头鹅产业发展关键瓶颈技术，加快科技成果转化，为狮头鹅产业的发展提供科技支撑。</w:t>
      </w:r>
    </w:p>
    <w:p w14:paraId="44977486">
      <w:pPr>
        <w:bidi w:val="0"/>
        <w:rPr>
          <w:rFonts w:hint="default" w:ascii="Times New Roman" w:hAnsi="Times New Roman"/>
          <w:color w:val="auto"/>
          <w:highlight w:val="none"/>
        </w:rPr>
      </w:pPr>
      <w:bookmarkStart w:id="69" w:name="_Toc21612"/>
      <w:bookmarkStart w:id="70" w:name="_Toc3593"/>
      <w:bookmarkStart w:id="71" w:name="_Toc30123"/>
      <w:bookmarkStart w:id="72" w:name="_Toc6435"/>
      <w:r>
        <w:rPr>
          <w:rFonts w:hint="eastAsia" w:ascii="Times New Roman" w:hAnsi="Times New Roman"/>
          <w:b/>
          <w:bCs/>
          <w:color w:val="auto"/>
          <w:highlight w:val="none"/>
          <w:lang w:val="en-US" w:eastAsia="zh-CN"/>
        </w:rPr>
        <w:t>三是加强国内、国际宣传，</w:t>
      </w:r>
      <w:r>
        <w:rPr>
          <w:rFonts w:hint="default" w:ascii="Times New Roman" w:hAnsi="Times New Roman"/>
          <w:b/>
          <w:bCs/>
          <w:color w:val="auto"/>
          <w:highlight w:val="none"/>
          <w:lang w:val="en-US" w:eastAsia="zh-CN"/>
        </w:rPr>
        <w:t>品牌影响力有待进一步提升</w:t>
      </w:r>
      <w:bookmarkEnd w:id="69"/>
      <w:bookmarkEnd w:id="70"/>
      <w:bookmarkEnd w:id="71"/>
      <w:bookmarkEnd w:id="72"/>
      <w:r>
        <w:rPr>
          <w:rFonts w:hint="eastAsia" w:ascii="Times New Roman" w:hAnsi="Times New Roman"/>
          <w:b/>
          <w:bCs/>
          <w:color w:val="auto"/>
          <w:highlight w:val="none"/>
          <w:lang w:val="en-US" w:eastAsia="zh-CN"/>
        </w:rPr>
        <w:t>。</w:t>
      </w:r>
      <w:r>
        <w:rPr>
          <w:rFonts w:hint="default" w:ascii="Times New Roman" w:hAnsi="Times New Roman"/>
          <w:color w:val="auto"/>
          <w:highlight w:val="none"/>
        </w:rPr>
        <w:t>澄海狮头鹅产业虽已成功构建“12221”市场体系，成功打响“粤字号”农业品牌，在国内甚至国际有一定的知名度，但与全国品牌建设水平先进的区域相比，全区农业品牌的影响力相对较弱，目前澄海区狮头鹅“国字号”品牌仍在打响，在全国农产品的区域品牌价值榜仍不高，影响力有待提高。区域品牌市场知名度、美誉度和竞争力均亟待提升。</w:t>
      </w:r>
      <w:bookmarkStart w:id="73" w:name="_Toc13991"/>
      <w:bookmarkStart w:id="74" w:name="_Toc13955"/>
      <w:bookmarkStart w:id="75" w:name="_Toc29498"/>
      <w:bookmarkStart w:id="76" w:name="_Toc28404"/>
    </w:p>
    <w:p w14:paraId="3196ED1C">
      <w:pPr>
        <w:pStyle w:val="3"/>
        <w:keepNext/>
        <w:pageBreakBefore w:val="0"/>
        <w:spacing w:before="0" w:beforeLines="-2147483648" w:after="0" w:afterLines="-2147483648" w:line="360" w:lineRule="auto"/>
        <w:ind w:firstLine="640" w:firstLineChars="200"/>
        <w:jc w:val="both"/>
        <w:rPr>
          <w:rFonts w:hint="eastAsia" w:ascii="Times New Roman" w:hAnsi="Times New Roman" w:cs="Times New Roman"/>
          <w:b w:val="0"/>
          <w:bCs/>
          <w:color w:val="auto"/>
          <w:szCs w:val="44"/>
          <w:highlight w:val="none"/>
          <w:lang w:val="en-US" w:eastAsia="zh-CN"/>
        </w:rPr>
      </w:pPr>
      <w:bookmarkStart w:id="77" w:name="_Toc22646"/>
      <w:bookmarkStart w:id="78" w:name="_Toc13451"/>
      <w:r>
        <w:rPr>
          <w:rFonts w:hint="eastAsia" w:ascii="Times New Roman" w:hAnsi="Times New Roman" w:cs="Times New Roman"/>
          <w:b w:val="0"/>
          <w:bCs/>
          <w:color w:val="auto"/>
          <w:szCs w:val="44"/>
          <w:highlight w:val="none"/>
          <w:lang w:val="en-US" w:eastAsia="zh-CN"/>
        </w:rPr>
        <w:t>三、</w:t>
      </w:r>
      <w:bookmarkEnd w:id="77"/>
      <w:r>
        <w:rPr>
          <w:rFonts w:hint="eastAsia" w:ascii="Times New Roman" w:hAnsi="Times New Roman" w:cs="Times New Roman"/>
          <w:b w:val="0"/>
          <w:bCs/>
          <w:color w:val="auto"/>
          <w:szCs w:val="44"/>
          <w:highlight w:val="none"/>
          <w:lang w:val="en-US" w:eastAsia="zh-CN"/>
        </w:rPr>
        <w:t>思路目标</w:t>
      </w:r>
      <w:bookmarkEnd w:id="78"/>
    </w:p>
    <w:p w14:paraId="083E380B">
      <w:pPr>
        <w:pStyle w:val="4"/>
        <w:keepNext w:val="0"/>
        <w:keepLines/>
        <w:pageBreakBefore w:val="0"/>
        <w:widowControl/>
        <w:kinsoku/>
        <w:wordWrap/>
        <w:overflowPunct/>
        <w:topLinePunct w:val="0"/>
        <w:autoSpaceDE/>
        <w:autoSpaceDN/>
        <w:bidi w:val="0"/>
        <w:adjustRightInd/>
        <w:snapToGrid/>
        <w:spacing w:line="590" w:lineRule="exact"/>
        <w:ind w:firstLine="640" w:firstLineChars="0"/>
        <w:textAlignment w:val="auto"/>
        <w:outlineLvl w:val="1"/>
        <w:rPr>
          <w:rFonts w:hint="eastAsia" w:ascii="Times New Roman" w:hAnsi="Times New Roman" w:eastAsia="楷体_GB2312" w:cs="楷体_GB2312"/>
          <w:b/>
          <w:bCs w:val="0"/>
          <w:color w:val="auto"/>
          <w:highlight w:val="none"/>
          <w:lang w:val="en-US" w:eastAsia="zh-CN"/>
        </w:rPr>
      </w:pPr>
      <w:bookmarkStart w:id="79" w:name="_Toc14195"/>
      <w:bookmarkStart w:id="80" w:name="_Toc26261"/>
      <w:bookmarkStart w:id="81" w:name="_Toc3851"/>
      <w:bookmarkStart w:id="82" w:name="_Toc6900"/>
      <w:bookmarkStart w:id="83" w:name="_Toc22511"/>
      <w:bookmarkStart w:id="84" w:name="_Toc4755"/>
      <w:r>
        <w:rPr>
          <w:rFonts w:hint="eastAsia" w:ascii="Times New Roman" w:hAnsi="Times New Roman" w:eastAsia="楷体_GB2312" w:cs="楷体_GB2312"/>
          <w:b/>
          <w:bCs w:val="0"/>
          <w:color w:val="auto"/>
          <w:highlight w:val="none"/>
          <w:lang w:val="en-US" w:eastAsia="zh-CN"/>
        </w:rPr>
        <w:t>（一）建设思路</w:t>
      </w:r>
      <w:bookmarkEnd w:id="79"/>
    </w:p>
    <w:p w14:paraId="5DCEAE57">
      <w:pPr>
        <w:keepNext w:val="0"/>
        <w:keepLines w:val="0"/>
        <w:pageBreakBefore w:val="0"/>
        <w:widowControl w:val="0"/>
        <w:kinsoku/>
        <w:wordWrap/>
        <w:overflowPunct/>
        <w:topLinePunct w:val="0"/>
        <w:autoSpaceDE/>
        <w:autoSpaceDN/>
        <w:bidi w:val="0"/>
        <w:adjustRightInd/>
        <w:snapToGrid/>
        <w:spacing w:line="590" w:lineRule="exact"/>
        <w:ind w:firstLine="640"/>
        <w:jc w:val="both"/>
        <w:textAlignment w:val="auto"/>
        <w:rPr>
          <w:rFonts w:hint="eastAsia" w:ascii="Times New Roman" w:hAnsi="Times New Roman" w:cs="Times New Roman"/>
          <w:color w:val="auto"/>
          <w:sz w:val="32"/>
          <w:highlight w:val="none"/>
          <w:lang w:val="en-US" w:eastAsia="zh-CN"/>
        </w:rPr>
      </w:pPr>
      <w:r>
        <w:rPr>
          <w:rFonts w:hint="default" w:ascii="Times New Roman" w:hAnsi="Times New Roman" w:eastAsia="仿宋_GB2312" w:cs="Times New Roman"/>
          <w:color w:val="auto"/>
          <w:sz w:val="32"/>
          <w:highlight w:val="none"/>
        </w:rPr>
        <w:t>坚持以习近平新时代中国特色社会主义思想为指导，</w:t>
      </w:r>
      <w:r>
        <w:rPr>
          <w:rFonts w:hint="eastAsia" w:ascii="Times New Roman" w:hAnsi="Times New Roman" w:cs="Times New Roman"/>
          <w:color w:val="auto"/>
          <w:sz w:val="32"/>
          <w:highlight w:val="none"/>
          <w:lang w:val="en-US" w:eastAsia="zh-CN"/>
        </w:rPr>
        <w:t>深入</w:t>
      </w:r>
      <w:r>
        <w:rPr>
          <w:rFonts w:hint="default" w:ascii="Times New Roman" w:hAnsi="Times New Roman" w:eastAsia="仿宋_GB2312" w:cs="Times New Roman"/>
          <w:color w:val="auto"/>
          <w:sz w:val="32"/>
          <w:highlight w:val="none"/>
        </w:rPr>
        <w:t>贯彻党的</w:t>
      </w:r>
      <w:r>
        <w:rPr>
          <w:rFonts w:hint="eastAsia" w:ascii="Times New Roman" w:hAnsi="Times New Roman" w:cs="Times New Roman"/>
          <w:color w:val="auto"/>
          <w:sz w:val="32"/>
          <w:highlight w:val="none"/>
          <w:lang w:val="en-US" w:eastAsia="zh-CN"/>
        </w:rPr>
        <w:t>二十大</w:t>
      </w:r>
      <w:r>
        <w:rPr>
          <w:rFonts w:hint="default" w:ascii="Times New Roman" w:hAnsi="Times New Roman" w:eastAsia="仿宋_GB2312" w:cs="Times New Roman"/>
          <w:color w:val="auto"/>
          <w:sz w:val="32"/>
          <w:highlight w:val="none"/>
        </w:rPr>
        <w:t>精神</w:t>
      </w:r>
      <w:r>
        <w:rPr>
          <w:rFonts w:hint="eastAsia" w:ascii="Times New Roman" w:hAnsi="Times New Roman" w:cs="Times New Roman"/>
          <w:color w:val="auto"/>
          <w:sz w:val="32"/>
          <w:highlight w:val="none"/>
          <w:lang w:val="en-US" w:eastAsia="zh-CN"/>
        </w:rPr>
        <w:t>，紧抓国家建设“汕头新时代中国特色社会主义现代化活力经济特区”和“一带一路”的机遇，加速融入粤港澳大湾区发展，进入国内大循环产业链和国内国际双循环产业链。按照高质量发展的要求，以狮头鹅产业供给侧结构性改革为主线，以“现代农业产业园+创新发展”为切入点和突破口，以“精耕细作+智慧农业”为发展方向，以推动狮头鹅产业高质量发展为目标，夯实国家级畜禽遗传资源保护品种“澄海系狮头鹅”保种育种最大基地及广东省狮头鹅最大产区的产业基础，加快澄海区狮头鹅产业发展，引导资本、技术、人才向产业汇聚，助推乡村产业兴旺，构建现代狮头鹅产业体系、生产体系、经营体系。</w:t>
      </w:r>
    </w:p>
    <w:p w14:paraId="1AEFFD4A">
      <w:pPr>
        <w:pStyle w:val="4"/>
        <w:keepNext w:val="0"/>
        <w:keepLines/>
        <w:pageBreakBefore w:val="0"/>
        <w:widowControl/>
        <w:kinsoku/>
        <w:wordWrap/>
        <w:overflowPunct/>
        <w:topLinePunct w:val="0"/>
        <w:autoSpaceDE/>
        <w:autoSpaceDN/>
        <w:bidi w:val="0"/>
        <w:adjustRightInd/>
        <w:snapToGrid/>
        <w:spacing w:line="590" w:lineRule="exact"/>
        <w:ind w:firstLine="640" w:firstLineChars="0"/>
        <w:textAlignment w:val="auto"/>
        <w:outlineLvl w:val="1"/>
        <w:rPr>
          <w:rFonts w:hint="eastAsia" w:ascii="Times New Roman" w:hAnsi="Times New Roman" w:eastAsia="楷体_GB2312" w:cs="楷体_GB2312"/>
          <w:b/>
          <w:bCs w:val="0"/>
          <w:color w:val="auto"/>
          <w:highlight w:val="none"/>
          <w:lang w:val="en-US" w:eastAsia="zh-CN"/>
        </w:rPr>
      </w:pPr>
      <w:bookmarkStart w:id="85" w:name="_Toc14007"/>
      <w:r>
        <w:rPr>
          <w:rFonts w:hint="eastAsia" w:ascii="Times New Roman" w:hAnsi="Times New Roman" w:eastAsia="楷体_GB2312" w:cs="楷体_GB2312"/>
          <w:b/>
          <w:bCs w:val="0"/>
          <w:color w:val="auto"/>
          <w:highlight w:val="none"/>
          <w:lang w:val="en-US" w:eastAsia="zh-CN"/>
        </w:rPr>
        <w:t>（二）建设原则</w:t>
      </w:r>
      <w:bookmarkEnd w:id="85"/>
    </w:p>
    <w:p w14:paraId="595527C2">
      <w:pPr>
        <w:pageBreakBefore w:val="0"/>
        <w:kinsoku/>
        <w:overflowPunct/>
        <w:topLinePunct w:val="0"/>
        <w:autoSpaceDE/>
        <w:autoSpaceDN/>
        <w:bidi w:val="0"/>
        <w:adjustRightInd/>
        <w:snapToGrid/>
        <w:spacing w:line="590" w:lineRule="exact"/>
        <w:rPr>
          <w:rFonts w:hint="default" w:ascii="Times New Roman" w:hAnsi="Times New Roman" w:eastAsia="楷体_GB2312" w:cs="楷体_GB2312"/>
          <w:b/>
          <w:bCs/>
          <w:color w:val="auto"/>
          <w:highlight w:val="none"/>
          <w:lang w:val="en-US" w:eastAsia="zh-CN"/>
        </w:rPr>
      </w:pPr>
      <w:r>
        <w:rPr>
          <w:rFonts w:hint="eastAsia" w:ascii="Times New Roman" w:hAnsi="Times New Roman" w:eastAsia="仿宋_GB2312" w:cs="仿宋_GB2312"/>
          <w:b/>
          <w:bCs/>
          <w:color w:val="auto"/>
          <w:highlight w:val="none"/>
          <w:lang w:val="en-US" w:eastAsia="zh-CN"/>
        </w:rPr>
        <w:t>1.坚持科学布局，因地制宜。</w:t>
      </w:r>
      <w:r>
        <w:rPr>
          <w:rFonts w:hint="eastAsia" w:ascii="Times New Roman" w:hAnsi="Times New Roman"/>
          <w:color w:val="auto"/>
          <w:highlight w:val="none"/>
          <w:lang w:val="en-US" w:eastAsia="zh-CN"/>
        </w:rPr>
        <w:t>统筹考虑资源、环境、市场等因素，做好产业做强做优与乡村振兴有效衔接，处理好产业发展和生态保护的关系，探索适应澄海区狮头鹅产业可持续发展模式，切实提高狮头鹅产业发展水平。</w:t>
      </w:r>
    </w:p>
    <w:p w14:paraId="32F56DF0">
      <w:pPr>
        <w:pageBreakBefore w:val="0"/>
        <w:kinsoku/>
        <w:overflowPunct/>
        <w:topLinePunct w:val="0"/>
        <w:autoSpaceDE/>
        <w:autoSpaceDN/>
        <w:bidi w:val="0"/>
        <w:adjustRightInd/>
        <w:snapToGrid/>
        <w:spacing w:line="590" w:lineRule="exact"/>
        <w:rPr>
          <w:rFonts w:hint="eastAsia" w:ascii="Times New Roman" w:hAnsi="Times New Roman"/>
          <w:color w:val="auto"/>
          <w:highlight w:val="none"/>
          <w:lang w:val="en-US" w:eastAsia="zh-CN"/>
        </w:rPr>
      </w:pPr>
      <w:r>
        <w:rPr>
          <w:rFonts w:hint="eastAsia" w:ascii="Times New Roman" w:hAnsi="Times New Roman" w:eastAsia="仿宋_GB2312" w:cs="仿宋_GB2312"/>
          <w:b/>
          <w:bCs/>
          <w:color w:val="auto"/>
          <w:highlight w:val="none"/>
          <w:lang w:val="en-US" w:eastAsia="zh-CN"/>
        </w:rPr>
        <w:t>2.坚持要素集聚、创新发展</w:t>
      </w:r>
      <w:r>
        <w:rPr>
          <w:rFonts w:hint="eastAsia" w:ascii="Times New Roman" w:hAnsi="Times New Roman" w:eastAsia="仿宋_GB2312" w:cs="仿宋_GB2312"/>
          <w:color w:val="auto"/>
          <w:highlight w:val="none"/>
          <w:lang w:val="en-US" w:eastAsia="zh-CN"/>
        </w:rPr>
        <w:t>。</w:t>
      </w:r>
      <w:r>
        <w:rPr>
          <w:rFonts w:hint="eastAsia" w:ascii="Times New Roman" w:hAnsi="Times New Roman"/>
          <w:color w:val="auto"/>
          <w:highlight w:val="none"/>
          <w:lang w:val="en-US" w:eastAsia="zh-CN"/>
        </w:rPr>
        <w:t>深入推进农业各类要素供给侧结构性改革，围绕主导产业提质增效的现代要素需求，促进资本、土地、科技、人才、管理、文化、政策等现代要素加速向产业园聚集，集合新要素、探索新模式、实现新跨越。</w:t>
      </w:r>
    </w:p>
    <w:p w14:paraId="373B834C">
      <w:pPr>
        <w:pageBreakBefore w:val="0"/>
        <w:kinsoku/>
        <w:overflowPunct/>
        <w:topLinePunct w:val="0"/>
        <w:autoSpaceDE/>
        <w:autoSpaceDN/>
        <w:bidi w:val="0"/>
        <w:adjustRightInd/>
        <w:snapToGrid/>
        <w:spacing w:line="590" w:lineRule="exact"/>
        <w:rPr>
          <w:rFonts w:hint="eastAsia" w:ascii="Times New Roman" w:hAnsi="Times New Roman"/>
          <w:color w:val="auto"/>
          <w:highlight w:val="none"/>
          <w:lang w:val="en-US" w:eastAsia="zh-CN"/>
        </w:rPr>
      </w:pPr>
      <w:r>
        <w:rPr>
          <w:rFonts w:hint="eastAsia" w:ascii="Times New Roman" w:hAnsi="Times New Roman" w:eastAsia="仿宋_GB2312" w:cs="仿宋_GB2312"/>
          <w:b/>
          <w:bCs/>
          <w:color w:val="auto"/>
          <w:highlight w:val="none"/>
          <w:lang w:val="en-US" w:eastAsia="zh-CN"/>
        </w:rPr>
        <w:t>3.坚持产业融合、城乡融合</w:t>
      </w:r>
      <w:r>
        <w:rPr>
          <w:rFonts w:hint="eastAsia" w:ascii="Times New Roman" w:hAnsi="Times New Roman" w:eastAsia="仿宋_GB2312" w:cs="仿宋_GB2312"/>
          <w:color w:val="auto"/>
          <w:highlight w:val="none"/>
          <w:lang w:val="en-US" w:eastAsia="zh-CN"/>
        </w:rPr>
        <w:t>。</w:t>
      </w:r>
      <w:r>
        <w:rPr>
          <w:rFonts w:hint="eastAsia" w:ascii="Times New Roman" w:hAnsi="Times New Roman"/>
          <w:color w:val="auto"/>
          <w:highlight w:val="none"/>
          <w:lang w:val="en-US" w:eastAsia="zh-CN"/>
        </w:rPr>
        <w:t>依据主导产业特色优势，加快构筑现代化的产业链、价值链与创新链，打破要素创新的瓶颈制约和体制机制障碍，协调推动乡村建设，促进农业现代化与新型城镇化，引导农村产业集聚发展，拓展农业多功能，推进一二三产融合发展。</w:t>
      </w:r>
    </w:p>
    <w:p w14:paraId="632344EA">
      <w:pPr>
        <w:pageBreakBefore w:val="0"/>
        <w:kinsoku/>
        <w:overflowPunct/>
        <w:topLinePunct w:val="0"/>
        <w:autoSpaceDE/>
        <w:autoSpaceDN/>
        <w:bidi w:val="0"/>
        <w:adjustRightInd/>
        <w:snapToGrid/>
        <w:spacing w:line="590" w:lineRule="exact"/>
        <w:rPr>
          <w:rFonts w:hint="eastAsia" w:ascii="Times New Roman" w:hAnsi="Times New Roman"/>
          <w:color w:val="auto"/>
          <w:highlight w:val="none"/>
          <w:lang w:val="en-US" w:eastAsia="zh-CN"/>
        </w:rPr>
      </w:pPr>
      <w:r>
        <w:rPr>
          <w:rFonts w:hint="eastAsia" w:ascii="Times New Roman" w:hAnsi="Times New Roman" w:eastAsia="仿宋_GB2312" w:cs="仿宋_GB2312"/>
          <w:b/>
          <w:bCs/>
          <w:color w:val="auto"/>
          <w:highlight w:val="none"/>
          <w:lang w:val="en-US" w:eastAsia="zh-CN"/>
        </w:rPr>
        <w:t>4.坚持政府引导、市场运作</w:t>
      </w:r>
      <w:r>
        <w:rPr>
          <w:rFonts w:hint="eastAsia" w:ascii="Times New Roman" w:hAnsi="Times New Roman" w:eastAsia="仿宋_GB2312" w:cs="仿宋_GB2312"/>
          <w:color w:val="auto"/>
          <w:highlight w:val="none"/>
          <w:lang w:val="en-US" w:eastAsia="zh-CN"/>
        </w:rPr>
        <w:t>。</w:t>
      </w:r>
      <w:r>
        <w:rPr>
          <w:rFonts w:hint="eastAsia" w:ascii="Times New Roman" w:hAnsi="Times New Roman"/>
          <w:color w:val="auto"/>
          <w:highlight w:val="none"/>
          <w:lang w:val="en-US" w:eastAsia="zh-CN"/>
        </w:rPr>
        <w:t>充分发挥市场配置资源的决定性作用，更好发挥政府在规划引领、机制创新、政策支持与综合服务等方面的职能，引导更多市场主体参与产业园开发和经营，政府现有支持渠道适当向园区倾斜，协调解决农业设施用地以及用水、用电等。</w:t>
      </w:r>
    </w:p>
    <w:p w14:paraId="0C762C51">
      <w:pPr>
        <w:pageBreakBefore w:val="0"/>
        <w:kinsoku/>
        <w:overflowPunct/>
        <w:topLinePunct w:val="0"/>
        <w:autoSpaceDE/>
        <w:autoSpaceDN/>
        <w:bidi w:val="0"/>
        <w:adjustRightInd/>
        <w:snapToGrid/>
        <w:spacing w:line="590" w:lineRule="exact"/>
        <w:rPr>
          <w:rFonts w:hint="eastAsia" w:ascii="Times New Roman" w:hAnsi="Times New Roman"/>
          <w:color w:val="auto"/>
          <w:highlight w:val="none"/>
          <w:lang w:val="en-US" w:eastAsia="zh-CN"/>
        </w:rPr>
      </w:pPr>
      <w:r>
        <w:rPr>
          <w:rFonts w:hint="eastAsia" w:ascii="Times New Roman" w:hAnsi="Times New Roman" w:eastAsia="仿宋_GB2312" w:cs="仿宋_GB2312"/>
          <w:b/>
          <w:bCs/>
          <w:color w:val="auto"/>
          <w:highlight w:val="none"/>
          <w:lang w:val="en-US" w:eastAsia="zh-CN"/>
        </w:rPr>
        <w:t>5.坚持以农为本、联农带农。</w:t>
      </w:r>
      <w:r>
        <w:rPr>
          <w:rFonts w:hint="eastAsia" w:ascii="Times New Roman" w:hAnsi="Times New Roman"/>
          <w:color w:val="auto"/>
          <w:highlight w:val="none"/>
          <w:lang w:val="en-US" w:eastAsia="zh-CN"/>
        </w:rPr>
        <w:t>坚持以“姓农、务农、为农、兴农”为宗旨，将产业园建设与“三农”工作紧密衔接，推进农业、农村、农民的现代化，发挥新型经营主体在产业园建设中的主体作用，完善利益联结机制，让农民分享产业园发展的好处。</w:t>
      </w:r>
    </w:p>
    <w:p w14:paraId="6DD80F5F">
      <w:pPr>
        <w:pageBreakBefore w:val="0"/>
        <w:kinsoku/>
        <w:overflowPunct/>
        <w:topLinePunct w:val="0"/>
        <w:autoSpaceDE/>
        <w:autoSpaceDN/>
        <w:bidi w:val="0"/>
        <w:adjustRightInd/>
        <w:snapToGrid/>
        <w:spacing w:line="590" w:lineRule="exact"/>
        <w:rPr>
          <w:rFonts w:hint="eastAsia" w:ascii="Times New Roman" w:hAnsi="Times New Roman"/>
          <w:color w:val="auto"/>
          <w:highlight w:val="none"/>
          <w:lang w:val="en-US" w:eastAsia="zh-CN"/>
        </w:rPr>
      </w:pPr>
      <w:r>
        <w:rPr>
          <w:rFonts w:hint="eastAsia" w:ascii="Times New Roman" w:hAnsi="Times New Roman" w:eastAsia="仿宋_GB2312" w:cs="仿宋_GB2312"/>
          <w:b/>
          <w:bCs/>
          <w:color w:val="auto"/>
          <w:highlight w:val="none"/>
          <w:lang w:val="en-US" w:eastAsia="zh-CN"/>
        </w:rPr>
        <w:t>6.坚持生态优先、绿色发展。</w:t>
      </w:r>
      <w:r>
        <w:rPr>
          <w:rFonts w:hint="eastAsia" w:ascii="Times New Roman" w:hAnsi="Times New Roman"/>
          <w:color w:val="auto"/>
          <w:highlight w:val="none"/>
          <w:lang w:val="en-US" w:eastAsia="zh-CN"/>
        </w:rPr>
        <w:t>坚持优化产业结构，发展节约型、生态型、高效型狮头鹅产业，推行种养结合、生产废弃物循环利用，加快农产品质量监管体系和追溯体系建设，落实农业生产“三品一标”行动，培育优质农产品品牌，推进发展方式由数量增长型向质量效益型转变。</w:t>
      </w:r>
    </w:p>
    <w:p w14:paraId="0CBF83F7">
      <w:pPr>
        <w:pStyle w:val="4"/>
        <w:keepNext w:val="0"/>
        <w:keepLines/>
        <w:pageBreakBefore w:val="0"/>
        <w:widowControl/>
        <w:kinsoku/>
        <w:wordWrap/>
        <w:overflowPunct/>
        <w:topLinePunct w:val="0"/>
        <w:autoSpaceDE/>
        <w:autoSpaceDN/>
        <w:bidi w:val="0"/>
        <w:adjustRightInd/>
        <w:snapToGrid/>
        <w:spacing w:line="590" w:lineRule="exact"/>
        <w:ind w:firstLine="640" w:firstLineChars="0"/>
        <w:textAlignment w:val="auto"/>
        <w:outlineLvl w:val="1"/>
        <w:rPr>
          <w:rFonts w:hint="eastAsia" w:ascii="Times New Roman" w:hAnsi="Times New Roman" w:eastAsia="楷体_GB2312" w:cs="楷体_GB2312"/>
          <w:b/>
          <w:bCs w:val="0"/>
          <w:color w:val="auto"/>
          <w:highlight w:val="none"/>
          <w:lang w:val="en-US" w:eastAsia="zh-CN"/>
        </w:rPr>
      </w:pPr>
      <w:bookmarkStart w:id="86" w:name="_Toc5672"/>
      <w:r>
        <w:rPr>
          <w:rFonts w:hint="eastAsia" w:ascii="Times New Roman" w:hAnsi="Times New Roman" w:eastAsia="楷体_GB2312" w:cs="楷体_GB2312"/>
          <w:b/>
          <w:bCs w:val="0"/>
          <w:color w:val="auto"/>
          <w:highlight w:val="none"/>
          <w:lang w:val="en-US" w:eastAsia="zh-CN"/>
        </w:rPr>
        <w:t>（三）功能定位</w:t>
      </w:r>
      <w:bookmarkEnd w:id="80"/>
      <w:bookmarkEnd w:id="81"/>
      <w:bookmarkEnd w:id="82"/>
      <w:bookmarkEnd w:id="83"/>
      <w:bookmarkEnd w:id="84"/>
      <w:bookmarkEnd w:id="86"/>
    </w:p>
    <w:p w14:paraId="751F3116">
      <w:pPr>
        <w:pageBreakBefore w:val="0"/>
        <w:kinsoku/>
        <w:overflowPunct/>
        <w:topLinePunct w:val="0"/>
        <w:autoSpaceDE/>
        <w:autoSpaceDN/>
        <w:bidi w:val="0"/>
        <w:adjustRightInd/>
        <w:snapToGrid/>
        <w:spacing w:line="590" w:lineRule="exact"/>
        <w:ind w:firstLine="640"/>
        <w:jc w:val="both"/>
        <w:rPr>
          <w:rFonts w:hint="default" w:ascii="Times New Roman" w:hAnsi="Times New Roman"/>
          <w:color w:val="auto"/>
          <w:highlight w:val="none"/>
        </w:rPr>
      </w:pPr>
      <w:r>
        <w:rPr>
          <w:rFonts w:hint="default" w:ascii="Times New Roman" w:hAnsi="Times New Roman" w:eastAsia="仿宋_GB2312" w:cs="Times New Roman"/>
          <w:color w:val="auto"/>
          <w:sz w:val="32"/>
          <w:highlight w:val="none"/>
        </w:rPr>
        <w:t>围绕“增产延链，强品提效”的发展要求，按照国家现代农业产业园的战略与政策要求，锚定</w:t>
      </w:r>
      <w:r>
        <w:rPr>
          <w:rFonts w:hint="eastAsia" w:ascii="Times New Roman" w:hAnsi="Times New Roman" w:cs="Times New Roman"/>
          <w:color w:val="auto"/>
          <w:sz w:val="32"/>
          <w:highlight w:val="none"/>
          <w:lang w:val="en-US" w:eastAsia="zh-CN"/>
        </w:rPr>
        <w:t>狮头鹅产业</w:t>
      </w:r>
      <w:r>
        <w:rPr>
          <w:rFonts w:hint="default" w:ascii="Times New Roman" w:hAnsi="Times New Roman" w:eastAsia="仿宋_GB2312" w:cs="Times New Roman"/>
          <w:color w:val="auto"/>
          <w:sz w:val="32"/>
          <w:highlight w:val="none"/>
        </w:rPr>
        <w:t>高产、高效、优质、绿色发展方向，通过提升规模化组织化发展水平、发展标准化现代化养殖、加强狮头鹅良种繁育体系建设、促进上下游产业链融合发展、巩固狮头鹅产业中心地位、做强狮头鹅品牌、拓宽营销市场、推进狮头鹅产品深度开发</w:t>
      </w:r>
      <w:r>
        <w:rPr>
          <w:rFonts w:hint="eastAsia" w:ascii="Times New Roman" w:hAnsi="Times New Roman" w:cs="Times New Roman"/>
          <w:color w:val="auto"/>
          <w:sz w:val="32"/>
          <w:highlight w:val="none"/>
          <w:lang w:eastAsia="zh-CN"/>
        </w:rPr>
        <w:t>，</w:t>
      </w:r>
      <w:r>
        <w:rPr>
          <w:rFonts w:hint="eastAsia" w:ascii="Times New Roman" w:hAnsi="Times New Roman" w:cs="Times New Roman"/>
          <w:color w:val="auto"/>
          <w:sz w:val="32"/>
          <w:highlight w:val="none"/>
          <w:lang w:val="en-US" w:eastAsia="zh-CN"/>
        </w:rPr>
        <w:t>全面实现狮头鹅产业</w:t>
      </w:r>
      <w:r>
        <w:rPr>
          <w:rFonts w:hint="default" w:ascii="Times New Roman" w:hAnsi="Times New Roman" w:eastAsia="仿宋_GB2312" w:cs="Times New Roman"/>
          <w:color w:val="auto"/>
          <w:sz w:val="32"/>
          <w:highlight w:val="none"/>
        </w:rPr>
        <w:t>五大方向转型，</w:t>
      </w:r>
      <w:r>
        <w:rPr>
          <w:rFonts w:hint="eastAsia" w:ascii="Times New Roman" w:hAnsi="Times New Roman" w:cs="Times New Roman"/>
          <w:color w:val="auto"/>
          <w:sz w:val="32"/>
          <w:highlight w:val="none"/>
          <w:lang w:val="en-US" w:eastAsia="zh-CN"/>
        </w:rPr>
        <w:t>建成具有</w:t>
      </w:r>
      <w:r>
        <w:rPr>
          <w:rFonts w:hint="default" w:ascii="Times New Roman" w:hAnsi="Times New Roman" w:eastAsia="仿宋_GB2312" w:cs="Times New Roman"/>
          <w:color w:val="auto"/>
          <w:sz w:val="32"/>
          <w:highlight w:val="none"/>
        </w:rPr>
        <w:t>世界影响力的</w:t>
      </w:r>
      <w:r>
        <w:rPr>
          <w:rFonts w:hint="eastAsia" w:ascii="Times New Roman" w:hAnsi="Times New Roman" w:cs="Times New Roman"/>
          <w:b w:val="0"/>
          <w:bCs w:val="0"/>
          <w:color w:val="auto"/>
          <w:sz w:val="32"/>
          <w:highlight w:val="none"/>
          <w:lang w:val="en-US" w:eastAsia="zh-CN"/>
        </w:rPr>
        <w:t>狮头鹅产业发展集群</w:t>
      </w:r>
      <w:r>
        <w:rPr>
          <w:rFonts w:hint="eastAsia" w:ascii="Times New Roman" w:hAnsi="Times New Roman" w:cs="Times New Roman"/>
          <w:color w:val="auto"/>
          <w:sz w:val="32"/>
          <w:highlight w:val="none"/>
          <w:lang w:val="en-US" w:eastAsia="zh-CN"/>
        </w:rPr>
        <w:t>，</w:t>
      </w:r>
      <w:r>
        <w:rPr>
          <w:rFonts w:hint="default" w:ascii="Times New Roman" w:hAnsi="Times New Roman" w:eastAsia="仿宋_GB2312" w:cs="Times New Roman"/>
          <w:color w:val="auto"/>
          <w:sz w:val="32"/>
          <w:highlight w:val="none"/>
        </w:rPr>
        <w:t>强化创新链，支撑产业链，激活人才链，提升价值链，鹅产业领头羊的创新引领地位，突出澄海区国家现代农业产业园以下发展定位与重点任务</w:t>
      </w:r>
      <w:r>
        <w:rPr>
          <w:rFonts w:hint="eastAsia" w:ascii="Times New Roman" w:hAnsi="Times New Roman" w:cs="Times New Roman"/>
          <w:color w:val="auto"/>
          <w:sz w:val="32"/>
          <w:highlight w:val="none"/>
          <w:lang w:eastAsia="zh-CN"/>
        </w:rPr>
        <w:t>。</w:t>
      </w:r>
    </w:p>
    <w:p w14:paraId="07FFC53C">
      <w:pPr>
        <w:pageBreakBefore w:val="0"/>
        <w:kinsoku/>
        <w:overflowPunct/>
        <w:topLinePunct w:val="0"/>
        <w:autoSpaceDE/>
        <w:autoSpaceDN/>
        <w:bidi w:val="0"/>
        <w:adjustRightInd/>
        <w:snapToGrid/>
        <w:spacing w:line="590" w:lineRule="exact"/>
        <w:ind w:firstLine="643"/>
        <w:jc w:val="left"/>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b/>
          <w:color w:val="auto"/>
          <w:sz w:val="32"/>
          <w:highlight w:val="none"/>
        </w:rPr>
        <w:t>——打造</w:t>
      </w:r>
      <w:r>
        <w:rPr>
          <w:rFonts w:hint="eastAsia" w:ascii="Times New Roman" w:hAnsi="Times New Roman" w:cs="Times New Roman"/>
          <w:b/>
          <w:color w:val="auto"/>
          <w:sz w:val="32"/>
          <w:highlight w:val="none"/>
          <w:lang w:val="en-US" w:eastAsia="zh-CN"/>
        </w:rPr>
        <w:t>具备国际领先水平的</w:t>
      </w:r>
      <w:r>
        <w:rPr>
          <w:rFonts w:hint="default" w:ascii="Times New Roman" w:hAnsi="Times New Roman" w:eastAsia="仿宋_GB2312" w:cs="Times New Roman"/>
          <w:b/>
          <w:color w:val="auto"/>
          <w:sz w:val="32"/>
          <w:highlight w:val="none"/>
        </w:rPr>
        <w:t>狮头鹅育种创新引领中心。</w:t>
      </w:r>
      <w:r>
        <w:rPr>
          <w:rFonts w:hint="default" w:ascii="Times New Roman" w:hAnsi="Times New Roman" w:eastAsia="仿宋_GB2312" w:cs="Times New Roman"/>
          <w:b w:val="0"/>
          <w:bCs/>
          <w:color w:val="auto"/>
          <w:sz w:val="32"/>
          <w:highlight w:val="none"/>
        </w:rPr>
        <w:t>深入实施遗传改良计划</w:t>
      </w:r>
      <w:r>
        <w:rPr>
          <w:rFonts w:hint="default" w:ascii="Times New Roman" w:hAnsi="Times New Roman" w:eastAsia="仿宋_GB2312" w:cs="Times New Roman"/>
          <w:color w:val="auto"/>
          <w:sz w:val="32"/>
          <w:highlight w:val="none"/>
        </w:rPr>
        <w:t>，</w:t>
      </w:r>
      <w:r>
        <w:rPr>
          <w:rFonts w:hint="eastAsia" w:ascii="Times New Roman" w:hAnsi="Times New Roman" w:cs="Times New Roman"/>
          <w:color w:val="auto"/>
          <w:sz w:val="32"/>
          <w:highlight w:val="none"/>
          <w:lang w:val="en-US" w:eastAsia="zh-CN"/>
        </w:rPr>
        <w:t>持续提升狮头鹅种源质量，</w:t>
      </w:r>
      <w:r>
        <w:rPr>
          <w:rFonts w:hint="default" w:ascii="Times New Roman" w:hAnsi="Times New Roman" w:eastAsia="仿宋_GB2312" w:cs="Times New Roman"/>
          <w:color w:val="auto"/>
          <w:sz w:val="32"/>
          <w:highlight w:val="none"/>
        </w:rPr>
        <w:t>搭建国家级狮头鹅</w:t>
      </w:r>
      <w:r>
        <w:rPr>
          <w:rFonts w:hint="eastAsia" w:ascii="Times New Roman" w:hAnsi="Times New Roman" w:cs="Times New Roman"/>
          <w:color w:val="auto"/>
          <w:sz w:val="32"/>
          <w:highlight w:val="none"/>
          <w:lang w:val="en-US" w:eastAsia="zh-CN"/>
        </w:rPr>
        <w:t>科技</w:t>
      </w:r>
      <w:r>
        <w:rPr>
          <w:rFonts w:hint="default" w:ascii="Times New Roman" w:hAnsi="Times New Roman" w:eastAsia="仿宋_GB2312" w:cs="Times New Roman"/>
          <w:color w:val="auto"/>
          <w:sz w:val="32"/>
          <w:highlight w:val="none"/>
        </w:rPr>
        <w:t>创新研发平台，</w:t>
      </w:r>
      <w:r>
        <w:rPr>
          <w:rFonts w:hint="eastAsia" w:ascii="Times New Roman" w:hAnsi="Times New Roman" w:cs="Times New Roman"/>
          <w:color w:val="auto"/>
          <w:sz w:val="32"/>
          <w:highlight w:val="none"/>
          <w:lang w:val="en-US" w:eastAsia="zh-CN"/>
        </w:rPr>
        <w:t>围绕品种选育、疫病防治、装备升级、循环农业等方向，加速狮头鹅新品种配套系培育，</w:t>
      </w:r>
      <w:r>
        <w:rPr>
          <w:rFonts w:hint="default" w:ascii="Times New Roman" w:hAnsi="Times New Roman" w:eastAsia="仿宋_GB2312" w:cs="Times New Roman"/>
          <w:color w:val="auto"/>
          <w:sz w:val="32"/>
          <w:highlight w:val="none"/>
        </w:rPr>
        <w:t>形成我国特色的优质狮头鹅新品种培育体系，加快建立起与国际通行规则相衔接的种业知识产权交易体系，引领全国狮头鹅养殖业发展升级。</w:t>
      </w:r>
    </w:p>
    <w:p w14:paraId="04AA62C3">
      <w:pPr>
        <w:pageBreakBefore w:val="0"/>
        <w:kinsoku/>
        <w:overflowPunct/>
        <w:topLinePunct w:val="0"/>
        <w:autoSpaceDE/>
        <w:autoSpaceDN/>
        <w:bidi w:val="0"/>
        <w:adjustRightInd/>
        <w:snapToGrid/>
        <w:spacing w:line="590" w:lineRule="exact"/>
        <w:ind w:firstLine="643"/>
        <w:rPr>
          <w:rFonts w:hint="eastAsia" w:ascii="Times New Roman" w:hAnsi="Times New Roman" w:cs="Times New Roman"/>
          <w:color w:val="auto"/>
          <w:sz w:val="32"/>
          <w:highlight w:val="none"/>
          <w:lang w:val="en-US" w:eastAsia="zh-CN"/>
        </w:rPr>
      </w:pPr>
      <w:r>
        <w:rPr>
          <w:rFonts w:hint="default" w:ascii="Times New Roman" w:hAnsi="Times New Roman" w:eastAsia="仿宋_GB2312" w:cs="Times New Roman"/>
          <w:b/>
          <w:color w:val="auto"/>
          <w:sz w:val="32"/>
          <w:highlight w:val="none"/>
        </w:rPr>
        <w:t>——打造</w:t>
      </w:r>
      <w:r>
        <w:rPr>
          <w:rFonts w:hint="eastAsia" w:ascii="Times New Roman" w:hAnsi="Times New Roman" w:cs="Times New Roman"/>
          <w:b/>
          <w:color w:val="auto"/>
          <w:sz w:val="32"/>
          <w:highlight w:val="none"/>
          <w:lang w:val="en-US" w:eastAsia="zh-CN"/>
        </w:rPr>
        <w:t>产业联动乡村融合的澄海狮头鹅产业集群</w:t>
      </w:r>
      <w:r>
        <w:rPr>
          <w:rFonts w:hint="default" w:ascii="Times New Roman" w:hAnsi="Times New Roman" w:eastAsia="仿宋_GB2312" w:cs="Times New Roman"/>
          <w:b/>
          <w:color w:val="auto"/>
          <w:sz w:val="32"/>
          <w:highlight w:val="none"/>
        </w:rPr>
        <w:t>。</w:t>
      </w:r>
      <w:r>
        <w:rPr>
          <w:rFonts w:hint="eastAsia" w:ascii="Times New Roman" w:hAnsi="Times New Roman" w:cs="Times New Roman"/>
          <w:color w:val="auto"/>
          <w:sz w:val="32"/>
          <w:highlight w:val="none"/>
          <w:lang w:val="en-US" w:eastAsia="zh-CN"/>
        </w:rPr>
        <w:t>立足资源规划产业方向，巩固澄海狮头鹅产业中心地位，构建种苗繁育、集中屠宰加工、冷链配送带动肉鹅养殖的发展布局，建设现代化屠宰加工冷链配送基地、“澄海狮头鹅产业城”、狮头鹅主题公园、狮头鹅产业文化展示中心，狮头鹅产业服务中心，</w:t>
      </w:r>
      <w:r>
        <w:rPr>
          <w:rFonts w:hint="default" w:ascii="Times New Roman" w:hAnsi="Times New Roman" w:eastAsia="仿宋_GB2312" w:cs="Times New Roman"/>
          <w:color w:val="auto"/>
          <w:sz w:val="32"/>
          <w:highlight w:val="none"/>
        </w:rPr>
        <w:t>实施</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产品外向化、基地规模化、</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"javascript:void(0)" </w:instrText>
      </w:r>
      <w:r>
        <w:rPr>
          <w:rFonts w:hint="default" w:ascii="Times New Roman" w:hAnsi="Times New Roman" w:cs="Times New Roman"/>
          <w:color w:val="auto"/>
          <w:highlight w:val="none"/>
        </w:rPr>
        <w:fldChar w:fldCharType="separate"/>
      </w:r>
      <w:r>
        <w:rPr>
          <w:rFonts w:hint="default" w:ascii="Times New Roman" w:hAnsi="Times New Roman" w:eastAsia="仿宋_GB2312" w:cs="Times New Roman"/>
          <w:color w:val="auto"/>
          <w:sz w:val="32"/>
          <w:highlight w:val="none"/>
        </w:rPr>
        <w:t>技术标准</w:t>
      </w:r>
      <w:r>
        <w:rPr>
          <w:rFonts w:hint="default" w:ascii="Times New Roman" w:hAnsi="Times New Roman" w:eastAsia="仿宋_GB2312" w:cs="Times New Roman"/>
          <w:color w:val="auto"/>
          <w:sz w:val="32"/>
          <w:highlight w:val="none"/>
        </w:rPr>
        <w:fldChar w:fldCharType="end"/>
      </w:r>
      <w:r>
        <w:rPr>
          <w:rFonts w:hint="default" w:ascii="Times New Roman" w:hAnsi="Times New Roman" w:eastAsia="仿宋_GB2312" w:cs="Times New Roman"/>
          <w:color w:val="auto"/>
          <w:sz w:val="32"/>
          <w:highlight w:val="none"/>
        </w:rPr>
        <w:t>化与管理规范化</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发展模式，</w:t>
      </w:r>
      <w:r>
        <w:rPr>
          <w:rFonts w:hint="eastAsia" w:ascii="Times New Roman" w:hAnsi="Times New Roman" w:cs="Times New Roman"/>
          <w:color w:val="auto"/>
          <w:sz w:val="32"/>
          <w:highlight w:val="none"/>
          <w:lang w:val="en-US" w:eastAsia="zh-CN"/>
        </w:rPr>
        <w:t>以工业强产、科技赋能、文化兴产，加速产业标准化、智能化、现代化发展。布局“双循环”发展格局，紧抓</w:t>
      </w:r>
      <w:r>
        <w:rPr>
          <w:rFonts w:hint="default" w:ascii="Times New Roman" w:hAnsi="Times New Roman" w:eastAsia="仿宋_GB2312" w:cs="Times New Roman"/>
          <w:color w:val="auto"/>
          <w:sz w:val="32"/>
          <w:highlight w:val="none"/>
        </w:rPr>
        <w:t>REPC发展</w:t>
      </w:r>
      <w:r>
        <w:rPr>
          <w:rFonts w:hint="eastAsia" w:ascii="Times New Roman" w:hAnsi="Times New Roman" w:cs="Times New Roman"/>
          <w:color w:val="auto"/>
          <w:sz w:val="32"/>
          <w:highlight w:val="none"/>
          <w:lang w:val="en-US" w:eastAsia="zh-CN"/>
        </w:rPr>
        <w:t>契机</w:t>
      </w:r>
      <w:r>
        <w:rPr>
          <w:rFonts w:hint="eastAsia" w:ascii="Times New Roman" w:hAnsi="Times New Roman" w:cs="Times New Roman"/>
          <w:color w:val="auto"/>
          <w:sz w:val="32"/>
          <w:highlight w:val="none"/>
          <w:lang w:eastAsia="zh-CN"/>
        </w:rPr>
        <w:t>，</w:t>
      </w:r>
      <w:r>
        <w:rPr>
          <w:rFonts w:hint="eastAsia" w:ascii="Times New Roman" w:hAnsi="Times New Roman" w:cs="Times New Roman"/>
          <w:color w:val="auto"/>
          <w:sz w:val="32"/>
          <w:highlight w:val="none"/>
          <w:lang w:val="en-US" w:eastAsia="zh-CN"/>
        </w:rPr>
        <w:t>与泰国、马来西亚、新加坡等国家（地区）的深度协作，</w:t>
      </w:r>
      <w:r>
        <w:rPr>
          <w:rFonts w:hint="default" w:ascii="Times New Roman" w:hAnsi="Times New Roman" w:eastAsia="仿宋_GB2312" w:cs="Times New Roman"/>
          <w:color w:val="auto"/>
          <w:sz w:val="32"/>
          <w:highlight w:val="none"/>
        </w:rPr>
        <w:t>推进建设狮头鹅</w:t>
      </w:r>
      <w:r>
        <w:rPr>
          <w:rFonts w:hint="eastAsia" w:ascii="Times New Roman" w:hAnsi="Times New Roman" w:cs="Times New Roman"/>
          <w:color w:val="auto"/>
          <w:sz w:val="32"/>
          <w:highlight w:val="none"/>
          <w:lang w:val="en-US" w:eastAsia="zh-CN"/>
        </w:rPr>
        <w:t>出口创汇市场</w:t>
      </w:r>
      <w:r>
        <w:rPr>
          <w:rFonts w:hint="default" w:ascii="Times New Roman" w:hAnsi="Times New Roman" w:eastAsia="仿宋_GB2312" w:cs="Times New Roman"/>
          <w:color w:val="auto"/>
          <w:sz w:val="32"/>
          <w:highlight w:val="none"/>
        </w:rPr>
        <w:t>体系，全面提升狮头鹅养殖、屠宰加工、营销等全产业链体系建设，</w:t>
      </w:r>
      <w:r>
        <w:rPr>
          <w:rFonts w:hint="eastAsia" w:ascii="Times New Roman" w:hAnsi="Times New Roman" w:cs="Times New Roman"/>
          <w:color w:val="auto"/>
          <w:sz w:val="32"/>
          <w:highlight w:val="none"/>
          <w:lang w:val="en-US" w:eastAsia="zh-CN"/>
        </w:rPr>
        <w:t>扎实做好新时代“侨”的文章，以侨为桥双向链接国内国际两个市场，提升产业附加值，建设狮头鹅产业集群。</w:t>
      </w:r>
    </w:p>
    <w:p w14:paraId="25F5F573">
      <w:pPr>
        <w:pageBreakBefore w:val="0"/>
        <w:kinsoku/>
        <w:overflowPunct/>
        <w:topLinePunct w:val="0"/>
        <w:autoSpaceDE/>
        <w:autoSpaceDN/>
        <w:bidi w:val="0"/>
        <w:adjustRightInd/>
        <w:snapToGrid/>
        <w:spacing w:line="590" w:lineRule="exact"/>
        <w:ind w:firstLine="643"/>
        <w:jc w:val="left"/>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b/>
          <w:color w:val="auto"/>
          <w:sz w:val="32"/>
          <w:highlight w:val="none"/>
        </w:rPr>
        <w:t>——打造粤港澳大湾区中央厨房（预制菜）供应中心。</w:t>
      </w:r>
      <w:r>
        <w:rPr>
          <w:rFonts w:hint="eastAsia" w:ascii="Times New Roman" w:hAnsi="Times New Roman" w:cs="Times New Roman"/>
          <w:b w:val="0"/>
          <w:bCs/>
          <w:color w:val="auto"/>
          <w:sz w:val="32"/>
          <w:highlight w:val="none"/>
          <w:lang w:val="en-US" w:eastAsia="zh-CN"/>
        </w:rPr>
        <w:t>紧抓省委省政府支持</w:t>
      </w:r>
      <w:r>
        <w:rPr>
          <w:rFonts w:hint="eastAsia" w:ascii="Times New Roman" w:hAnsi="Times New Roman" w:cs="Times New Roman"/>
          <w:color w:val="auto"/>
          <w:sz w:val="32"/>
          <w:highlight w:val="none"/>
          <w:lang w:val="en-US" w:eastAsia="zh-CN"/>
        </w:rPr>
        <w:t>汕头市建设新时代中国特色社会主义现代化活力经济特区的机遇，深入围绕融入“双区”、联动“双城”、深化与深圳、香港等地区的合作，</w:t>
      </w:r>
      <w:r>
        <w:rPr>
          <w:rFonts w:hint="default" w:ascii="Times New Roman" w:hAnsi="Times New Roman" w:eastAsia="仿宋_GB2312" w:cs="Times New Roman"/>
          <w:color w:val="auto"/>
          <w:sz w:val="32"/>
          <w:highlight w:val="none"/>
        </w:rPr>
        <w:t>瞄准粤港澳大湾区和国内国际市场，抢抓预制菜产业万亿元市场发展新机遇，加快融入粤港澳大湾区一体化建设。以狮头鹅产业为引领，协同澄海区蔬菜、水产、水果等产业规模及产量居全省前列的特色优势产业，</w:t>
      </w:r>
      <w:r>
        <w:rPr>
          <w:rFonts w:hint="eastAsia" w:ascii="Times New Roman" w:hAnsi="Times New Roman" w:cs="Times New Roman"/>
          <w:color w:val="auto"/>
          <w:sz w:val="32"/>
          <w:highlight w:val="none"/>
          <w:lang w:val="en-US" w:eastAsia="zh-CN"/>
        </w:rPr>
        <w:t>建设预制菜产业园、</w:t>
      </w:r>
      <w:r>
        <w:rPr>
          <w:rFonts w:hint="default" w:ascii="Times New Roman" w:hAnsi="Times New Roman" w:eastAsia="仿宋_GB2312" w:cs="Times New Roman"/>
          <w:color w:val="auto"/>
          <w:sz w:val="32"/>
          <w:highlight w:val="none"/>
        </w:rPr>
        <w:t>粤港澳大湾区中央厨房（预制菜）供应</w:t>
      </w:r>
      <w:r>
        <w:rPr>
          <w:rFonts w:hint="eastAsia" w:ascii="Times New Roman" w:hAnsi="Times New Roman" w:cs="Times New Roman"/>
          <w:color w:val="auto"/>
          <w:sz w:val="32"/>
          <w:highlight w:val="none"/>
          <w:lang w:val="en-US" w:eastAsia="zh-CN"/>
        </w:rPr>
        <w:t>基地</w:t>
      </w:r>
      <w:r>
        <w:rPr>
          <w:rFonts w:hint="default" w:ascii="Times New Roman" w:hAnsi="Times New Roman" w:eastAsia="仿宋_GB2312" w:cs="Times New Roman"/>
          <w:color w:val="auto"/>
          <w:sz w:val="32"/>
          <w:highlight w:val="none"/>
        </w:rPr>
        <w:t>，扶持打造日日香、物只卤鹅、澄鹅等狮头鹅卤制品牌</w:t>
      </w:r>
      <w:r>
        <w:rPr>
          <w:rFonts w:hint="eastAsia" w:ascii="Times New Roman" w:hAnsi="Times New Roman" w:cs="Times New Roman"/>
          <w:color w:val="auto"/>
          <w:sz w:val="32"/>
          <w:highlight w:val="none"/>
          <w:lang w:val="en-US" w:eastAsia="zh-CN"/>
        </w:rPr>
        <w:t>和“12221”市场体系建设</w:t>
      </w:r>
      <w:r>
        <w:rPr>
          <w:rFonts w:hint="default" w:ascii="Times New Roman" w:hAnsi="Times New Roman" w:eastAsia="仿宋_GB2312" w:cs="Times New Roman"/>
          <w:color w:val="auto"/>
          <w:sz w:val="32"/>
          <w:highlight w:val="none"/>
        </w:rPr>
        <w:t>，促进</w:t>
      </w:r>
      <w:r>
        <w:rPr>
          <w:rFonts w:hint="eastAsia" w:ascii="Times New Roman" w:hAnsi="Times New Roman" w:cs="Times New Roman"/>
          <w:color w:val="auto"/>
          <w:sz w:val="32"/>
          <w:highlight w:val="none"/>
          <w:lang w:val="en-US" w:eastAsia="zh-CN"/>
        </w:rPr>
        <w:t>澄海区</w:t>
      </w:r>
      <w:r>
        <w:rPr>
          <w:rFonts w:hint="default" w:ascii="Times New Roman" w:hAnsi="Times New Roman" w:eastAsia="仿宋_GB2312" w:cs="Times New Roman"/>
          <w:color w:val="auto"/>
          <w:sz w:val="32"/>
          <w:highlight w:val="none"/>
        </w:rPr>
        <w:t>现代农业与食品产业高质量发展，推动乡村产业振兴</w:t>
      </w:r>
      <w:r>
        <w:rPr>
          <w:rFonts w:hint="eastAsia" w:ascii="Times New Roman" w:hAnsi="Times New Roman" w:cs="Times New Roman"/>
          <w:color w:val="auto"/>
          <w:sz w:val="32"/>
          <w:highlight w:val="none"/>
          <w:lang w:eastAsia="zh-CN"/>
        </w:rPr>
        <w:t>，城乡区域协调发展，</w:t>
      </w:r>
      <w:r>
        <w:rPr>
          <w:rFonts w:hint="eastAsia" w:ascii="Times New Roman" w:hAnsi="Times New Roman" w:cs="Times New Roman"/>
          <w:color w:val="auto"/>
          <w:sz w:val="32"/>
          <w:highlight w:val="none"/>
          <w:lang w:val="en-US" w:eastAsia="zh-CN"/>
        </w:rPr>
        <w:t>实现共同富裕</w:t>
      </w:r>
      <w:r>
        <w:rPr>
          <w:rFonts w:hint="default" w:ascii="Times New Roman" w:hAnsi="Times New Roman" w:eastAsia="仿宋_GB2312" w:cs="Times New Roman"/>
          <w:color w:val="auto"/>
          <w:sz w:val="32"/>
          <w:highlight w:val="none"/>
        </w:rPr>
        <w:t>。</w:t>
      </w:r>
    </w:p>
    <w:p w14:paraId="6E72A67F">
      <w:pPr>
        <w:pageBreakBefore w:val="0"/>
        <w:kinsoku/>
        <w:overflowPunct/>
        <w:topLinePunct w:val="0"/>
        <w:autoSpaceDE/>
        <w:autoSpaceDN/>
        <w:bidi w:val="0"/>
        <w:adjustRightInd/>
        <w:snapToGrid/>
        <w:spacing w:line="590" w:lineRule="exact"/>
        <w:ind w:firstLine="643"/>
        <w:rPr>
          <w:rFonts w:hint="default" w:ascii="Times New Roman" w:hAnsi="Times New Roman"/>
          <w:color w:val="auto"/>
          <w:highlight w:val="none"/>
        </w:rPr>
      </w:pPr>
      <w:r>
        <w:rPr>
          <w:rFonts w:hint="default" w:ascii="Times New Roman" w:hAnsi="Times New Roman" w:eastAsia="仿宋_GB2312" w:cs="Times New Roman"/>
          <w:b/>
          <w:color w:val="auto"/>
          <w:sz w:val="32"/>
          <w:highlight w:val="none"/>
        </w:rPr>
        <w:t>——</w:t>
      </w:r>
      <w:r>
        <w:rPr>
          <w:rFonts w:hint="eastAsia" w:ascii="Times New Roman" w:hAnsi="Times New Roman" w:cs="Times New Roman"/>
          <w:b/>
          <w:color w:val="auto"/>
          <w:sz w:val="32"/>
          <w:highlight w:val="none"/>
          <w:lang w:val="en-US" w:eastAsia="zh-CN"/>
        </w:rPr>
        <w:t>打造独具地区特色的绿色生态与</w:t>
      </w:r>
      <w:r>
        <w:rPr>
          <w:rFonts w:hint="default" w:ascii="Times New Roman" w:hAnsi="Times New Roman" w:eastAsia="仿宋_GB2312" w:cs="Times New Roman"/>
          <w:b/>
          <w:color w:val="auto"/>
          <w:sz w:val="32"/>
          <w:highlight w:val="none"/>
        </w:rPr>
        <w:t>品牌强农示范中心。</w:t>
      </w:r>
      <w:r>
        <w:rPr>
          <w:rFonts w:hint="default" w:ascii="Times New Roman" w:hAnsi="Times New Roman" w:cs="Times New Roman"/>
          <w:color w:val="auto"/>
          <w:sz w:val="32"/>
          <w:highlight w:val="none"/>
          <w:lang w:eastAsia="zh-CN"/>
        </w:rPr>
        <w:t>围绕</w:t>
      </w:r>
      <w:r>
        <w:rPr>
          <w:rFonts w:hint="eastAsia" w:ascii="Times New Roman" w:hAnsi="Times New Roman" w:cs="Times New Roman"/>
          <w:color w:val="auto"/>
          <w:sz w:val="32"/>
          <w:highlight w:val="none"/>
          <w:lang w:val="en-US" w:eastAsia="zh-CN"/>
        </w:rPr>
        <w:t>狮头鹅产业</w:t>
      </w:r>
      <w:r>
        <w:rPr>
          <w:rFonts w:hint="default" w:ascii="Times New Roman" w:hAnsi="Times New Roman" w:cs="Times New Roman"/>
          <w:color w:val="auto"/>
          <w:sz w:val="32"/>
          <w:highlight w:val="none"/>
          <w:lang w:eastAsia="zh-CN"/>
        </w:rPr>
        <w:t>绿色品牌</w:t>
      </w:r>
      <w:r>
        <w:rPr>
          <w:rFonts w:hint="eastAsia" w:ascii="Times New Roman" w:hAnsi="Times New Roman" w:cs="Times New Roman"/>
          <w:color w:val="auto"/>
          <w:sz w:val="32"/>
          <w:highlight w:val="none"/>
          <w:lang w:eastAsia="zh-CN"/>
        </w:rPr>
        <w:t>，标准化工程</w:t>
      </w:r>
      <w:r>
        <w:rPr>
          <w:rFonts w:hint="default" w:ascii="Times New Roman" w:hAnsi="Times New Roman" w:cs="Times New Roman"/>
          <w:color w:val="auto"/>
          <w:sz w:val="32"/>
          <w:highlight w:val="none"/>
          <w:lang w:eastAsia="zh-CN"/>
        </w:rPr>
        <w:t>建设</w:t>
      </w:r>
      <w:r>
        <w:rPr>
          <w:rFonts w:hint="eastAsia" w:ascii="Times New Roman" w:hAnsi="Times New Roman" w:cs="Times New Roman"/>
          <w:color w:val="auto"/>
          <w:sz w:val="32"/>
          <w:highlight w:val="none"/>
          <w:lang w:eastAsia="zh-CN"/>
        </w:rPr>
        <w:t>，推广应用节肥、节药、节能等绿色生产技术，建立一批“三品一标”示范基地，实施</w:t>
      </w:r>
      <w:r>
        <w:rPr>
          <w:rFonts w:hint="eastAsia" w:ascii="Times New Roman" w:hAnsi="Times New Roman" w:cs="Times New Roman"/>
          <w:color w:val="auto"/>
          <w:sz w:val="32"/>
          <w:highlight w:val="none"/>
          <w:lang w:val="en-US" w:eastAsia="zh-CN"/>
        </w:rPr>
        <w:t>狮头鹅产业</w:t>
      </w:r>
      <w:r>
        <w:rPr>
          <w:rFonts w:hint="eastAsia" w:ascii="Times New Roman" w:hAnsi="Times New Roman" w:cs="Times New Roman"/>
          <w:color w:val="auto"/>
          <w:sz w:val="32"/>
          <w:highlight w:val="none"/>
          <w:lang w:eastAsia="zh-CN"/>
        </w:rPr>
        <w:t>质量提升工程，健全</w:t>
      </w:r>
      <w:r>
        <w:rPr>
          <w:rFonts w:hint="eastAsia" w:ascii="Times New Roman" w:hAnsi="Times New Roman" w:cs="Times New Roman"/>
          <w:color w:val="auto"/>
          <w:sz w:val="32"/>
          <w:highlight w:val="none"/>
          <w:lang w:val="en-US" w:eastAsia="zh-CN"/>
        </w:rPr>
        <w:t>区</w:t>
      </w:r>
      <w:r>
        <w:rPr>
          <w:rFonts w:hint="eastAsia" w:ascii="Times New Roman" w:hAnsi="Times New Roman" w:cs="Times New Roman"/>
          <w:color w:val="auto"/>
          <w:sz w:val="32"/>
          <w:highlight w:val="none"/>
          <w:lang w:eastAsia="zh-CN"/>
        </w:rPr>
        <w:t>、</w:t>
      </w:r>
      <w:r>
        <w:rPr>
          <w:rFonts w:hint="eastAsia" w:ascii="Times New Roman" w:hAnsi="Times New Roman" w:cs="Times New Roman"/>
          <w:color w:val="auto"/>
          <w:sz w:val="32"/>
          <w:highlight w:val="none"/>
          <w:lang w:val="en-US" w:eastAsia="zh-CN"/>
        </w:rPr>
        <w:t>镇</w:t>
      </w:r>
      <w:r>
        <w:rPr>
          <w:rFonts w:hint="eastAsia" w:ascii="Times New Roman" w:hAnsi="Times New Roman" w:cs="Times New Roman"/>
          <w:color w:val="auto"/>
          <w:sz w:val="32"/>
          <w:highlight w:val="none"/>
          <w:lang w:eastAsia="zh-CN"/>
        </w:rPr>
        <w:t>、村三级农产品质量安全监管体系和检验检测体系，</w:t>
      </w:r>
      <w:r>
        <w:rPr>
          <w:rFonts w:hint="eastAsia" w:ascii="Times New Roman" w:hAnsi="Times New Roman" w:cs="Times New Roman"/>
          <w:color w:val="auto"/>
          <w:sz w:val="32"/>
          <w:highlight w:val="none"/>
          <w:lang w:val="en-US" w:eastAsia="zh-CN"/>
        </w:rPr>
        <w:t>以优质的品质，“省字号”</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国字号</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品牌</w:t>
      </w:r>
      <w:r>
        <w:rPr>
          <w:rFonts w:hint="eastAsia" w:ascii="Times New Roman" w:hAnsi="Times New Roman" w:cs="Times New Roman"/>
          <w:color w:val="auto"/>
          <w:sz w:val="32"/>
          <w:highlight w:val="none"/>
          <w:lang w:val="en-US" w:eastAsia="zh-CN"/>
        </w:rPr>
        <w:t>荣誉，</w:t>
      </w:r>
      <w:r>
        <w:rPr>
          <w:rFonts w:hint="eastAsia" w:ascii="Times New Roman" w:hAnsi="Times New Roman" w:eastAsia="仿宋_GB2312" w:cs="Times New Roman"/>
          <w:color w:val="auto"/>
          <w:sz w:val="32"/>
          <w:highlight w:val="none"/>
          <w:lang w:val="en-US" w:eastAsia="zh-CN"/>
        </w:rPr>
        <w:t>打造</w:t>
      </w:r>
      <w:r>
        <w:rPr>
          <w:rFonts w:hint="eastAsia" w:ascii="Times New Roman" w:hAnsi="Times New Roman" w:cs="Times New Roman"/>
          <w:color w:val="auto"/>
          <w:sz w:val="32"/>
          <w:highlight w:val="none"/>
          <w:lang w:val="en-US" w:eastAsia="zh-CN"/>
        </w:rPr>
        <w:t>澄海狮头鹅</w:t>
      </w:r>
      <w:r>
        <w:rPr>
          <w:rFonts w:hint="eastAsia" w:ascii="Times New Roman" w:hAnsi="Times New Roman" w:eastAsia="仿宋_GB2312" w:cs="Times New Roman"/>
          <w:color w:val="auto"/>
          <w:sz w:val="32"/>
          <w:highlight w:val="none"/>
          <w:lang w:val="en-US" w:eastAsia="zh-CN"/>
        </w:rPr>
        <w:t>“乡愁”品牌</w:t>
      </w:r>
      <w:r>
        <w:rPr>
          <w:rFonts w:hint="eastAsia" w:ascii="Times New Roman" w:hAnsi="Times New Roman" w:cs="Times New Roman"/>
          <w:color w:val="auto"/>
          <w:sz w:val="32"/>
          <w:highlight w:val="none"/>
          <w:lang w:val="en-US" w:eastAsia="zh-CN"/>
        </w:rPr>
        <w:t>。</w:t>
      </w:r>
    </w:p>
    <w:bookmarkEnd w:id="73"/>
    <w:bookmarkEnd w:id="74"/>
    <w:bookmarkEnd w:id="75"/>
    <w:bookmarkEnd w:id="76"/>
    <w:p w14:paraId="29C80AD0">
      <w:pPr>
        <w:pStyle w:val="4"/>
        <w:keepNext w:val="0"/>
        <w:keepLines/>
        <w:pageBreakBefore w:val="0"/>
        <w:widowControl/>
        <w:kinsoku/>
        <w:wordWrap/>
        <w:overflowPunct/>
        <w:topLinePunct w:val="0"/>
        <w:autoSpaceDE/>
        <w:autoSpaceDN/>
        <w:bidi w:val="0"/>
        <w:adjustRightInd/>
        <w:snapToGrid/>
        <w:spacing w:line="590" w:lineRule="exact"/>
        <w:ind w:firstLine="640" w:firstLineChars="0"/>
        <w:textAlignment w:val="auto"/>
        <w:outlineLvl w:val="1"/>
        <w:rPr>
          <w:rFonts w:hint="eastAsia" w:ascii="Times New Roman" w:hAnsi="Times New Roman" w:eastAsia="楷体_GB2312" w:cs="楷体_GB2312"/>
          <w:b/>
          <w:bCs w:val="0"/>
          <w:color w:val="auto"/>
          <w:highlight w:val="none"/>
          <w:lang w:val="en-US" w:eastAsia="zh-CN"/>
        </w:rPr>
      </w:pPr>
      <w:bookmarkStart w:id="87" w:name="_Toc13260"/>
      <w:bookmarkStart w:id="88" w:name="_Toc31354"/>
      <w:bookmarkStart w:id="89" w:name="_Toc16524"/>
      <w:bookmarkStart w:id="90" w:name="_Toc24051"/>
      <w:bookmarkStart w:id="91" w:name="_Toc20140"/>
      <w:bookmarkStart w:id="92" w:name="_Toc25059"/>
      <w:bookmarkStart w:id="93" w:name="_Toc18524"/>
      <w:r>
        <w:rPr>
          <w:rFonts w:hint="eastAsia" w:ascii="Times New Roman" w:hAnsi="Times New Roman" w:eastAsia="楷体_GB2312" w:cs="楷体_GB2312"/>
          <w:b/>
          <w:bCs w:val="0"/>
          <w:color w:val="auto"/>
          <w:highlight w:val="none"/>
          <w:lang w:val="en-US" w:eastAsia="zh-CN"/>
        </w:rPr>
        <w:t>（四）建设目标</w:t>
      </w:r>
      <w:bookmarkEnd w:id="87"/>
      <w:bookmarkEnd w:id="88"/>
      <w:bookmarkEnd w:id="89"/>
      <w:bookmarkEnd w:id="90"/>
      <w:bookmarkEnd w:id="91"/>
      <w:bookmarkEnd w:id="92"/>
      <w:bookmarkEnd w:id="93"/>
    </w:p>
    <w:p w14:paraId="4E1D3878">
      <w:pPr>
        <w:pageBreakBefore w:val="0"/>
        <w:kinsoku/>
        <w:overflowPunct/>
        <w:topLinePunct w:val="0"/>
        <w:autoSpaceDE/>
        <w:autoSpaceDN/>
        <w:bidi w:val="0"/>
        <w:adjustRightInd/>
        <w:snapToGrid/>
        <w:spacing w:line="590" w:lineRule="exact"/>
        <w:rPr>
          <w:rFonts w:hint="default" w:ascii="Times New Roman" w:hAnsi="Times New Roman"/>
          <w:color w:val="auto"/>
          <w:highlight w:val="none"/>
        </w:rPr>
      </w:pPr>
      <w:bookmarkStart w:id="94" w:name="_Toc24066"/>
      <w:r>
        <w:rPr>
          <w:rFonts w:hint="default" w:ascii="Times New Roman" w:hAnsi="Times New Roman"/>
          <w:color w:val="auto"/>
          <w:highlight w:val="none"/>
        </w:rPr>
        <w:t>全面推进全国狮头鹅产业总部基地建设、塑造具有世界影响力的狮头鹅产业之都，加快提升澄海区狮头鹅品牌影响力，实现主导产业跨越式发展，到20</w:t>
      </w:r>
      <w:r>
        <w:rPr>
          <w:rFonts w:hint="eastAsia" w:ascii="Times New Roman" w:hAnsi="Times New Roman"/>
          <w:color w:val="auto"/>
          <w:highlight w:val="none"/>
          <w:lang w:val="en-US" w:eastAsia="zh-CN"/>
        </w:rPr>
        <w:t>26</w:t>
      </w:r>
      <w:r>
        <w:rPr>
          <w:rFonts w:hint="default" w:ascii="Times New Roman" w:hAnsi="Times New Roman"/>
          <w:color w:val="auto"/>
          <w:highlight w:val="none"/>
        </w:rPr>
        <w:t>年，基本建成具有国际竞争力的狮头鹅全产业链国家现代农业产业园，主要</w:t>
      </w:r>
      <w:r>
        <w:rPr>
          <w:rFonts w:hint="eastAsia" w:ascii="Times New Roman" w:hAnsi="Times New Roman"/>
          <w:color w:val="auto"/>
          <w:highlight w:val="none"/>
          <w:lang w:eastAsia="zh-CN"/>
        </w:rPr>
        <w:t>建设</w:t>
      </w:r>
      <w:r>
        <w:rPr>
          <w:rFonts w:hint="default" w:ascii="Times New Roman" w:hAnsi="Times New Roman"/>
          <w:color w:val="auto"/>
          <w:highlight w:val="none"/>
        </w:rPr>
        <w:t>指标达到国家级现代农业产业园预期目标值，有力弥补国内狮头鹅品种资源退化、专门化新品系和配套系培育体系不完善的局面。</w:t>
      </w:r>
      <w:r>
        <w:rPr>
          <w:rFonts w:hint="default" w:ascii="Times New Roman" w:hAnsi="Times New Roman"/>
          <w:color w:val="auto"/>
          <w:highlight w:val="none"/>
          <w:lang w:val="en-US" w:eastAsia="zh-CN"/>
        </w:rPr>
        <w:t>到202</w:t>
      </w:r>
      <w:r>
        <w:rPr>
          <w:rFonts w:hint="eastAsia" w:ascii="Times New Roman" w:hAnsi="Times New Roman"/>
          <w:color w:val="auto"/>
          <w:highlight w:val="none"/>
          <w:lang w:val="en-US" w:eastAsia="zh-CN"/>
        </w:rPr>
        <w:t>8</w:t>
      </w:r>
      <w:r>
        <w:rPr>
          <w:rFonts w:hint="default" w:ascii="Times New Roman" w:hAnsi="Times New Roman"/>
          <w:color w:val="auto"/>
          <w:highlight w:val="none"/>
          <w:lang w:val="en-US" w:eastAsia="zh-CN"/>
        </w:rPr>
        <w:t>年，</w:t>
      </w:r>
      <w:r>
        <w:rPr>
          <w:rFonts w:hint="default" w:ascii="Times New Roman" w:hAnsi="Times New Roman"/>
          <w:color w:val="auto"/>
          <w:highlight w:val="none"/>
        </w:rPr>
        <w:t>打造具有国际影响力的民族狮头鹅品牌，构筑以狮头鹅产业为引领的水禽产业化集群，为带动全区率先全面建成小康社会奠定坚实基础。具体</w:t>
      </w:r>
      <w:r>
        <w:rPr>
          <w:rFonts w:hint="eastAsia" w:ascii="Times New Roman" w:hAnsi="Times New Roman"/>
          <w:color w:val="auto"/>
          <w:highlight w:val="none"/>
          <w:lang w:eastAsia="zh-CN"/>
        </w:rPr>
        <w:t>建设</w:t>
      </w:r>
      <w:r>
        <w:rPr>
          <w:rFonts w:hint="default" w:ascii="Times New Roman" w:hAnsi="Times New Roman"/>
          <w:color w:val="auto"/>
          <w:highlight w:val="none"/>
        </w:rPr>
        <w:t>目标如下：</w:t>
      </w:r>
    </w:p>
    <w:p w14:paraId="3E500D31">
      <w:pPr>
        <w:pageBreakBefore w:val="0"/>
        <w:kinsoku/>
        <w:overflowPunct/>
        <w:topLinePunct w:val="0"/>
        <w:autoSpaceDE/>
        <w:autoSpaceDN/>
        <w:bidi w:val="0"/>
        <w:adjustRightInd/>
        <w:snapToGrid/>
        <w:spacing w:line="590" w:lineRule="exact"/>
        <w:rPr>
          <w:rFonts w:hint="default" w:ascii="Times New Roman" w:hAnsi="Times New Roman"/>
          <w:color w:val="auto"/>
          <w:highlight w:val="none"/>
        </w:rPr>
      </w:pPr>
      <w:r>
        <w:rPr>
          <w:rFonts w:hint="eastAsia" w:ascii="Times New Roman" w:hAnsi="Times New Roman"/>
          <w:b/>
          <w:bCs/>
          <w:color w:val="auto"/>
          <w:highlight w:val="none"/>
          <w:lang w:val="en-US" w:eastAsia="zh-CN"/>
        </w:rPr>
        <w:t>1.</w:t>
      </w:r>
      <w:r>
        <w:rPr>
          <w:rFonts w:hint="default" w:ascii="Times New Roman" w:hAnsi="Times New Roman"/>
          <w:b/>
          <w:bCs/>
          <w:color w:val="auto"/>
          <w:highlight w:val="none"/>
          <w:lang w:val="en-US" w:eastAsia="zh-CN"/>
        </w:rPr>
        <w:t>狮头鹅产业化集群发展</w:t>
      </w:r>
      <w:r>
        <w:rPr>
          <w:rFonts w:hint="default" w:ascii="Times New Roman" w:hAnsi="Times New Roman"/>
          <w:b/>
          <w:bCs/>
          <w:color w:val="auto"/>
          <w:highlight w:val="none"/>
        </w:rPr>
        <w:t>。</w:t>
      </w:r>
      <w:r>
        <w:rPr>
          <w:rFonts w:hint="default" w:ascii="Times New Roman" w:hAnsi="Times New Roman"/>
          <w:color w:val="auto"/>
          <w:highlight w:val="none"/>
        </w:rPr>
        <w:t>到202</w:t>
      </w:r>
      <w:r>
        <w:rPr>
          <w:rFonts w:hint="eastAsia" w:ascii="Times New Roman" w:hAnsi="Times New Roman"/>
          <w:color w:val="auto"/>
          <w:highlight w:val="none"/>
          <w:lang w:val="en-US" w:eastAsia="zh-CN"/>
        </w:rPr>
        <w:t>6</w:t>
      </w:r>
      <w:r>
        <w:rPr>
          <w:rFonts w:hint="default" w:ascii="Times New Roman" w:hAnsi="Times New Roman"/>
          <w:color w:val="auto"/>
          <w:highlight w:val="none"/>
        </w:rPr>
        <w:t>年，产业园总产值达到</w:t>
      </w:r>
      <w:r>
        <w:rPr>
          <w:rFonts w:hint="default" w:ascii="Times New Roman" w:hAnsi="Times New Roman"/>
          <w:color w:val="auto"/>
          <w:highlight w:val="none"/>
          <w:lang w:val="en-US" w:eastAsia="zh-CN"/>
        </w:rPr>
        <w:t>163</w:t>
      </w:r>
      <w:r>
        <w:rPr>
          <w:rFonts w:hint="default" w:ascii="Times New Roman" w:hAnsi="Times New Roman"/>
          <w:color w:val="auto"/>
          <w:highlight w:val="none"/>
        </w:rPr>
        <w:t>亿元，辐射带动加工、农旅全产业链发展，主导产业总产值达</w:t>
      </w:r>
      <w:r>
        <w:rPr>
          <w:rFonts w:hint="default" w:ascii="Times New Roman" w:hAnsi="Times New Roman"/>
          <w:color w:val="auto"/>
          <w:highlight w:val="none"/>
          <w:lang w:val="en-US" w:eastAsia="zh-CN"/>
        </w:rPr>
        <w:t>109.8</w:t>
      </w:r>
      <w:r>
        <w:rPr>
          <w:rFonts w:hint="default" w:ascii="Times New Roman" w:hAnsi="Times New Roman"/>
          <w:color w:val="auto"/>
          <w:highlight w:val="none"/>
        </w:rPr>
        <w:t>亿元</w:t>
      </w:r>
      <w:r>
        <w:rPr>
          <w:rFonts w:hint="default" w:ascii="Times New Roman" w:hAnsi="Times New Roman"/>
          <w:color w:val="auto"/>
          <w:highlight w:val="none"/>
          <w:lang w:eastAsia="zh-CN"/>
        </w:rPr>
        <w:t>，</w:t>
      </w:r>
      <w:r>
        <w:rPr>
          <w:rFonts w:hint="default" w:ascii="Times New Roman" w:hAnsi="Times New Roman"/>
          <w:color w:val="auto"/>
          <w:highlight w:val="none"/>
          <w:lang w:val="en-US" w:eastAsia="zh-CN"/>
        </w:rPr>
        <w:t>占产业园总产值的6</w:t>
      </w:r>
      <w:r>
        <w:rPr>
          <w:rFonts w:hint="eastAsia" w:ascii="Times New Roman" w:hAnsi="Times New Roman"/>
          <w:color w:val="auto"/>
          <w:highlight w:val="none"/>
          <w:lang w:val="en-US" w:eastAsia="zh-CN"/>
        </w:rPr>
        <w:t>7</w:t>
      </w:r>
      <w:r>
        <w:rPr>
          <w:rFonts w:hint="default" w:ascii="Times New Roman" w:hAnsi="Times New Roman"/>
          <w:color w:val="auto"/>
          <w:highlight w:val="none"/>
          <w:lang w:val="en-US" w:eastAsia="zh-CN"/>
        </w:rPr>
        <w:t>.</w:t>
      </w:r>
      <w:r>
        <w:rPr>
          <w:rFonts w:hint="eastAsia" w:ascii="Times New Roman" w:hAnsi="Times New Roman"/>
          <w:color w:val="auto"/>
          <w:highlight w:val="none"/>
          <w:lang w:val="en-US" w:eastAsia="zh-CN"/>
        </w:rPr>
        <w:t>36</w:t>
      </w:r>
      <w:r>
        <w:rPr>
          <w:rFonts w:hint="default" w:ascii="Times New Roman" w:hAnsi="Times New Roman"/>
          <w:color w:val="auto"/>
          <w:highlight w:val="none"/>
          <w:lang w:val="en-US" w:eastAsia="zh-CN"/>
        </w:rPr>
        <w:t>%</w:t>
      </w:r>
      <w:r>
        <w:rPr>
          <w:rFonts w:hint="default" w:ascii="Times New Roman" w:hAnsi="Times New Roman"/>
          <w:color w:val="auto"/>
          <w:highlight w:val="none"/>
        </w:rPr>
        <w:t>；升级改造原有养殖场</w:t>
      </w:r>
      <w:r>
        <w:rPr>
          <w:rFonts w:hint="default" w:ascii="Times New Roman" w:hAnsi="Times New Roman"/>
          <w:color w:val="auto"/>
          <w:highlight w:val="none"/>
          <w:lang w:eastAsia="zh-CN"/>
        </w:rPr>
        <w:t>，</w:t>
      </w:r>
      <w:r>
        <w:rPr>
          <w:rFonts w:hint="default" w:ascii="Times New Roman" w:hAnsi="Times New Roman"/>
          <w:color w:val="auto"/>
          <w:highlight w:val="none"/>
        </w:rPr>
        <w:t>产业园畜禽标准化养殖</w:t>
      </w:r>
      <w:r>
        <w:rPr>
          <w:rFonts w:hint="default" w:ascii="Times New Roman" w:hAnsi="Times New Roman"/>
          <w:color w:val="auto"/>
          <w:highlight w:val="none"/>
          <w:lang w:val="en-US" w:eastAsia="zh-CN"/>
        </w:rPr>
        <w:t>显著提升</w:t>
      </w:r>
      <w:r>
        <w:rPr>
          <w:rFonts w:hint="default" w:ascii="Times New Roman" w:hAnsi="Times New Roman"/>
          <w:color w:val="auto"/>
          <w:highlight w:val="none"/>
        </w:rPr>
        <w:t>，狮头鹅出栏量达到</w:t>
      </w:r>
      <w:r>
        <w:rPr>
          <w:rFonts w:hint="default" w:ascii="Times New Roman" w:hAnsi="Times New Roman"/>
          <w:color w:val="auto"/>
          <w:highlight w:val="none"/>
          <w:lang w:val="en-US" w:eastAsia="zh-CN"/>
        </w:rPr>
        <w:t>10</w:t>
      </w:r>
      <w:r>
        <w:rPr>
          <w:rFonts w:hint="eastAsia" w:ascii="Times New Roman" w:hAnsi="Times New Roman"/>
          <w:color w:val="auto"/>
          <w:highlight w:val="none"/>
          <w:lang w:val="en-US" w:eastAsia="zh-CN"/>
        </w:rPr>
        <w:t>00</w:t>
      </w:r>
      <w:r>
        <w:rPr>
          <w:rFonts w:hint="default" w:ascii="Times New Roman" w:hAnsi="Times New Roman"/>
          <w:color w:val="auto"/>
          <w:highlight w:val="none"/>
        </w:rPr>
        <w:t>万只。</w:t>
      </w:r>
      <w:r>
        <w:rPr>
          <w:rFonts w:hint="default" w:ascii="Times New Roman" w:hAnsi="Times New Roman"/>
          <w:color w:val="auto"/>
          <w:highlight w:val="none"/>
          <w:lang w:val="en-US" w:eastAsia="zh-CN"/>
        </w:rPr>
        <w:t>园内狮头鹅屠宰加工及冷链水平进一步提升，农产品加工业产值与农业总产值比值达到3.</w:t>
      </w:r>
      <w:r>
        <w:rPr>
          <w:rFonts w:hint="eastAsia" w:ascii="Times New Roman" w:hAnsi="Times New Roman"/>
          <w:color w:val="auto"/>
          <w:highlight w:val="none"/>
          <w:lang w:val="en-US" w:eastAsia="zh-CN"/>
        </w:rPr>
        <w:t>17:</w:t>
      </w:r>
      <w:r>
        <w:rPr>
          <w:rFonts w:hint="default" w:ascii="Times New Roman" w:hAnsi="Times New Roman"/>
          <w:color w:val="auto"/>
          <w:highlight w:val="none"/>
          <w:lang w:val="en-US" w:eastAsia="zh-CN"/>
        </w:rPr>
        <w:t>1</w:t>
      </w:r>
      <w:r>
        <w:rPr>
          <w:rFonts w:hint="eastAsia" w:ascii="Times New Roman" w:hAnsi="Times New Roman"/>
          <w:color w:val="auto"/>
          <w:highlight w:val="none"/>
          <w:lang w:val="en-US" w:eastAsia="zh-CN"/>
        </w:rPr>
        <w:t>，</w:t>
      </w:r>
      <w:r>
        <w:rPr>
          <w:rFonts w:hint="default" w:ascii="Times New Roman" w:hAnsi="Times New Roman"/>
          <w:color w:val="auto"/>
          <w:highlight w:val="none"/>
        </w:rPr>
        <w:t>一二三产业深度融合的新业态得到发展。</w:t>
      </w:r>
    </w:p>
    <w:p w14:paraId="592EA291">
      <w:pPr>
        <w:pageBreakBefore w:val="0"/>
        <w:kinsoku/>
        <w:overflowPunct/>
        <w:topLinePunct w:val="0"/>
        <w:autoSpaceDE/>
        <w:autoSpaceDN/>
        <w:bidi w:val="0"/>
        <w:adjustRightInd/>
        <w:snapToGrid/>
        <w:spacing w:line="590" w:lineRule="exact"/>
        <w:rPr>
          <w:rFonts w:hint="default" w:ascii="Times New Roman" w:hAnsi="Times New Roman"/>
          <w:color w:val="auto"/>
          <w:highlight w:val="none"/>
          <w:lang w:val="en-US" w:eastAsia="zh-CN"/>
        </w:rPr>
      </w:pPr>
      <w:r>
        <w:rPr>
          <w:rFonts w:hint="eastAsia" w:ascii="Times New Roman" w:hAnsi="Times New Roman"/>
          <w:b/>
          <w:bCs/>
          <w:color w:val="auto"/>
          <w:highlight w:val="none"/>
          <w:lang w:val="en-US" w:eastAsia="zh-CN"/>
        </w:rPr>
        <w:t>2.</w:t>
      </w:r>
      <w:r>
        <w:rPr>
          <w:rFonts w:hint="default" w:ascii="Times New Roman" w:hAnsi="Times New Roman"/>
          <w:b/>
          <w:bCs/>
          <w:color w:val="auto"/>
          <w:highlight w:val="none"/>
          <w:lang w:val="en-US" w:eastAsia="zh-CN"/>
        </w:rPr>
        <w:t>狮头鹅科技创新能力显著提升</w:t>
      </w:r>
      <w:r>
        <w:rPr>
          <w:rFonts w:hint="default" w:ascii="Times New Roman" w:hAnsi="Times New Roman"/>
          <w:b/>
          <w:bCs/>
          <w:color w:val="auto"/>
          <w:highlight w:val="none"/>
          <w:lang w:eastAsia="zh-CN"/>
        </w:rPr>
        <w:t>。</w:t>
      </w:r>
      <w:r>
        <w:rPr>
          <w:rFonts w:hint="default" w:ascii="Times New Roman" w:hAnsi="Times New Roman"/>
          <w:color w:val="auto"/>
          <w:highlight w:val="none"/>
          <w:lang w:eastAsia="zh-CN"/>
        </w:rPr>
        <w:t>到202</w:t>
      </w:r>
      <w:r>
        <w:rPr>
          <w:rFonts w:hint="eastAsia" w:ascii="Times New Roman" w:hAnsi="Times New Roman"/>
          <w:color w:val="auto"/>
          <w:highlight w:val="none"/>
          <w:lang w:val="en-US" w:eastAsia="zh-CN"/>
        </w:rPr>
        <w:t>6</w:t>
      </w:r>
      <w:r>
        <w:rPr>
          <w:rFonts w:hint="default" w:ascii="Times New Roman" w:hAnsi="Times New Roman"/>
          <w:color w:val="auto"/>
          <w:highlight w:val="none"/>
          <w:lang w:eastAsia="zh-CN"/>
        </w:rPr>
        <w:t>年，</w:t>
      </w:r>
      <w:r>
        <w:rPr>
          <w:rFonts w:hint="default" w:ascii="Times New Roman" w:hAnsi="Times New Roman"/>
          <w:color w:val="auto"/>
          <w:highlight w:val="none"/>
        </w:rPr>
        <w:t>现代科技要素集聚，省级以上科研单位设立研发平台</w:t>
      </w:r>
      <w:r>
        <w:rPr>
          <w:rFonts w:hint="default" w:ascii="Times New Roman" w:hAnsi="Times New Roman"/>
          <w:color w:val="auto"/>
          <w:highlight w:val="none"/>
          <w:lang w:val="en-US" w:eastAsia="zh-CN"/>
        </w:rPr>
        <w:t>4个</w:t>
      </w:r>
      <w:r>
        <w:rPr>
          <w:rFonts w:hint="default" w:ascii="Times New Roman" w:hAnsi="Times New Roman"/>
          <w:color w:val="auto"/>
          <w:highlight w:val="none"/>
          <w:lang w:eastAsia="zh-CN"/>
        </w:rPr>
        <w:t>，</w:t>
      </w:r>
      <w:r>
        <w:rPr>
          <w:rFonts w:hint="default" w:ascii="Times New Roman" w:hAnsi="Times New Roman"/>
          <w:color w:val="auto"/>
          <w:highlight w:val="none"/>
        </w:rPr>
        <w:t>若干地级市科研单位参与产业园建设，</w:t>
      </w:r>
      <w:r>
        <w:rPr>
          <w:rFonts w:hint="eastAsia" w:ascii="Times New Roman" w:hAnsi="Times New Roman"/>
          <w:color w:val="auto"/>
          <w:highlight w:val="none"/>
          <w:lang w:val="en-US" w:eastAsia="zh-CN"/>
        </w:rPr>
        <w:t>专业技术人员数量达700人；</w:t>
      </w:r>
      <w:r>
        <w:rPr>
          <w:rFonts w:hint="default" w:ascii="Times New Roman" w:hAnsi="Times New Roman"/>
          <w:color w:val="auto"/>
          <w:highlight w:val="none"/>
        </w:rPr>
        <w:t>研发推广一批高品质、绿色化的生态高效农业技术集成模式，新品种新技术研发引进推广经费支出</w:t>
      </w:r>
      <w:r>
        <w:rPr>
          <w:rFonts w:hint="eastAsia" w:ascii="Times New Roman" w:hAnsi="Times New Roman"/>
          <w:color w:val="auto"/>
          <w:highlight w:val="none"/>
          <w:lang w:val="en-US" w:eastAsia="zh-CN"/>
        </w:rPr>
        <w:t>达2800万元，</w:t>
      </w:r>
      <w:r>
        <w:rPr>
          <w:rFonts w:hint="default" w:ascii="Times New Roman" w:hAnsi="Times New Roman"/>
          <w:color w:val="auto"/>
          <w:highlight w:val="none"/>
        </w:rPr>
        <w:t>园区内整体农业科技进步贡献率超过广东省平均水平，狮头鹅养殖良种</w:t>
      </w:r>
      <w:r>
        <w:rPr>
          <w:rFonts w:hint="eastAsia" w:ascii="Times New Roman" w:hAnsi="Times New Roman"/>
          <w:color w:val="auto"/>
          <w:highlight w:val="none"/>
          <w:lang w:val="en-US" w:eastAsia="zh-CN"/>
        </w:rPr>
        <w:t>覆盖率达99.5</w:t>
      </w:r>
      <w:r>
        <w:rPr>
          <w:rFonts w:hint="default" w:ascii="Times New Roman" w:hAnsi="Times New Roman"/>
          <w:color w:val="auto"/>
          <w:highlight w:val="none"/>
        </w:rPr>
        <w:t>%。在园区进入稳步发展阶段后，构建一套完整的狮头鹅产业科研支撑体系，增强园区企业自主创新意识，继续对狮头鹅品种资源的收集、保护、整理，对狮头鹅品系、性状、繁殖技术、饲养技术、加工生产技术等深入研究，加快形成一整套完善的狮头鹅产业体系。加快推进农机化转型升级</w:t>
      </w:r>
      <w:r>
        <w:rPr>
          <w:rFonts w:hint="default" w:ascii="Times New Roman" w:hAnsi="Times New Roman"/>
          <w:color w:val="auto"/>
          <w:highlight w:val="none"/>
          <w:lang w:eastAsia="zh-CN"/>
        </w:rPr>
        <w:t>，</w:t>
      </w:r>
      <w:r>
        <w:rPr>
          <w:rFonts w:hint="default" w:ascii="Times New Roman" w:hAnsi="Times New Roman"/>
          <w:color w:val="auto"/>
          <w:highlight w:val="none"/>
          <w:lang w:val="en-US" w:eastAsia="zh-CN"/>
        </w:rPr>
        <w:t>农作物耕种收综合机械化率达</w:t>
      </w:r>
      <w:r>
        <w:rPr>
          <w:rFonts w:hint="eastAsia" w:ascii="Times New Roman" w:hAnsi="Times New Roman"/>
          <w:color w:val="auto"/>
          <w:highlight w:val="none"/>
          <w:lang w:val="en-US" w:eastAsia="zh-CN"/>
        </w:rPr>
        <w:t>76</w:t>
      </w:r>
      <w:r>
        <w:rPr>
          <w:rFonts w:hint="default" w:ascii="Times New Roman" w:hAnsi="Times New Roman"/>
          <w:color w:val="auto"/>
          <w:highlight w:val="none"/>
          <w:lang w:val="en-US" w:eastAsia="zh-CN"/>
        </w:rPr>
        <w:t>%。</w:t>
      </w:r>
    </w:p>
    <w:p w14:paraId="645D1EF6">
      <w:pPr>
        <w:pageBreakBefore w:val="0"/>
        <w:kinsoku/>
        <w:overflowPunct/>
        <w:topLinePunct w:val="0"/>
        <w:autoSpaceDE/>
        <w:autoSpaceDN/>
        <w:bidi w:val="0"/>
        <w:adjustRightInd/>
        <w:snapToGrid/>
        <w:spacing w:line="590" w:lineRule="exact"/>
        <w:rPr>
          <w:rFonts w:hint="default" w:ascii="Times New Roman" w:hAnsi="Times New Roman"/>
          <w:color w:val="auto"/>
          <w:highlight w:val="none"/>
          <w:lang w:val="en-US" w:eastAsia="zh-CN"/>
        </w:rPr>
      </w:pPr>
      <w:r>
        <w:rPr>
          <w:rFonts w:hint="eastAsia" w:ascii="Times New Roman" w:hAnsi="Times New Roman"/>
          <w:b/>
          <w:bCs/>
          <w:color w:val="auto"/>
          <w:highlight w:val="none"/>
          <w:lang w:val="en-US" w:eastAsia="zh-CN"/>
        </w:rPr>
        <w:t>3.</w:t>
      </w:r>
      <w:r>
        <w:rPr>
          <w:rFonts w:hint="default" w:ascii="Times New Roman" w:hAnsi="Times New Roman"/>
          <w:b/>
          <w:bCs/>
          <w:color w:val="auto"/>
          <w:highlight w:val="none"/>
          <w:lang w:val="en-US" w:eastAsia="zh-CN"/>
        </w:rPr>
        <w:t>农业新型经营主体全面发育</w:t>
      </w:r>
      <w:r>
        <w:rPr>
          <w:rFonts w:hint="default" w:ascii="Times New Roman" w:hAnsi="Times New Roman"/>
          <w:b/>
          <w:bCs/>
          <w:color w:val="auto"/>
          <w:highlight w:val="none"/>
          <w:lang w:eastAsia="zh-CN"/>
        </w:rPr>
        <w:t>。</w:t>
      </w:r>
      <w:r>
        <w:rPr>
          <w:rFonts w:hint="default" w:ascii="Times New Roman" w:hAnsi="Times New Roman"/>
          <w:color w:val="auto"/>
          <w:highlight w:val="none"/>
        </w:rPr>
        <w:t>到202</w:t>
      </w:r>
      <w:r>
        <w:rPr>
          <w:rFonts w:hint="eastAsia" w:ascii="Times New Roman" w:hAnsi="Times New Roman"/>
          <w:color w:val="auto"/>
          <w:highlight w:val="none"/>
          <w:lang w:val="en-US" w:eastAsia="zh-CN"/>
        </w:rPr>
        <w:t>6</w:t>
      </w:r>
      <w:r>
        <w:rPr>
          <w:rFonts w:hint="default" w:ascii="Times New Roman" w:hAnsi="Times New Roman"/>
          <w:color w:val="auto"/>
          <w:highlight w:val="none"/>
        </w:rPr>
        <w:t>年，多种形式的适度规模经营占主导地位，</w:t>
      </w:r>
      <w:r>
        <w:rPr>
          <w:rFonts w:hint="eastAsia" w:ascii="Times New Roman" w:hAnsi="Times New Roman"/>
          <w:color w:val="auto"/>
          <w:highlight w:val="none"/>
          <w:lang w:val="en-US" w:eastAsia="zh-CN"/>
        </w:rPr>
        <w:t>土地适度规模经营占比达到85.5%</w:t>
      </w:r>
      <w:r>
        <w:rPr>
          <w:rFonts w:hint="default" w:ascii="Times New Roman" w:hAnsi="Times New Roman"/>
          <w:color w:val="auto"/>
          <w:highlight w:val="none"/>
        </w:rPr>
        <w:t>，</w:t>
      </w:r>
      <w:r>
        <w:rPr>
          <w:rFonts w:hint="default" w:ascii="Times New Roman" w:hAnsi="Times New Roman"/>
          <w:color w:val="auto"/>
          <w:highlight w:val="none"/>
          <w:lang w:val="en-US" w:eastAsia="zh-CN"/>
        </w:rPr>
        <w:t>狮头鹅经营主体聚集式发展，入园参与主导产业生产经营企业达480家，培育国家级农业龙头企业</w:t>
      </w:r>
      <w:r>
        <w:rPr>
          <w:rFonts w:hint="eastAsia" w:ascii="Times New Roman" w:hAnsi="Times New Roman"/>
          <w:color w:val="auto"/>
          <w:highlight w:val="none"/>
          <w:lang w:val="en-US" w:eastAsia="zh-CN"/>
        </w:rPr>
        <w:t>1</w:t>
      </w:r>
      <w:r>
        <w:rPr>
          <w:rFonts w:hint="default" w:ascii="Times New Roman" w:hAnsi="Times New Roman"/>
          <w:color w:val="auto"/>
          <w:highlight w:val="none"/>
          <w:lang w:val="en-US" w:eastAsia="zh-CN"/>
        </w:rPr>
        <w:t>家，省级农业龙头企业10家，重点培育家庭农场、农民合作社等新型农业经营主体，从事主导产业农民专业合作社数量达220家、家庭农场75家。</w:t>
      </w:r>
    </w:p>
    <w:p w14:paraId="715FAA8E">
      <w:pPr>
        <w:pageBreakBefore w:val="0"/>
        <w:kinsoku/>
        <w:overflowPunct/>
        <w:topLinePunct w:val="0"/>
        <w:autoSpaceDE/>
        <w:autoSpaceDN/>
        <w:bidi w:val="0"/>
        <w:adjustRightInd/>
        <w:snapToGrid/>
        <w:spacing w:line="590" w:lineRule="exact"/>
        <w:ind w:firstLine="643"/>
        <w:rPr>
          <w:rFonts w:hint="default" w:ascii="Times New Roman" w:hAnsi="Times New Roman"/>
          <w:color w:val="auto"/>
          <w:highlight w:val="none"/>
          <w:lang w:val="en-US" w:eastAsia="zh-CN"/>
        </w:rPr>
      </w:pPr>
      <w:r>
        <w:rPr>
          <w:rFonts w:hint="eastAsia" w:ascii="Times New Roman" w:hAnsi="Times New Roman"/>
          <w:b/>
          <w:bCs/>
          <w:color w:val="auto"/>
          <w:highlight w:val="none"/>
          <w:lang w:val="en-US" w:eastAsia="zh-CN"/>
        </w:rPr>
        <w:t>4.</w:t>
      </w:r>
      <w:r>
        <w:rPr>
          <w:rFonts w:hint="default" w:ascii="Times New Roman" w:hAnsi="Times New Roman"/>
          <w:b/>
          <w:bCs/>
          <w:color w:val="auto"/>
          <w:highlight w:val="none"/>
          <w:lang w:val="en-US" w:eastAsia="zh-CN"/>
        </w:rPr>
        <w:t>狮头鹅</w:t>
      </w:r>
      <w:r>
        <w:rPr>
          <w:rFonts w:hint="default" w:ascii="Times New Roman" w:hAnsi="Times New Roman"/>
          <w:b/>
          <w:bCs/>
          <w:color w:val="auto"/>
          <w:highlight w:val="none"/>
          <w:lang w:eastAsia="zh-CN"/>
        </w:rPr>
        <w:t>绿色发展</w:t>
      </w:r>
      <w:r>
        <w:rPr>
          <w:rFonts w:hint="default" w:ascii="Times New Roman" w:hAnsi="Times New Roman"/>
          <w:b/>
          <w:bCs/>
          <w:color w:val="auto"/>
          <w:highlight w:val="none"/>
          <w:lang w:val="en-US" w:eastAsia="zh-CN"/>
        </w:rPr>
        <w:t>成效</w:t>
      </w:r>
      <w:r>
        <w:rPr>
          <w:rFonts w:hint="default" w:ascii="Times New Roman" w:hAnsi="Times New Roman"/>
          <w:b/>
          <w:bCs/>
          <w:color w:val="auto"/>
          <w:highlight w:val="none"/>
          <w:lang w:eastAsia="zh-CN"/>
        </w:rPr>
        <w:t>突出。</w:t>
      </w:r>
      <w:r>
        <w:rPr>
          <w:rFonts w:hint="default" w:ascii="Times New Roman" w:hAnsi="Times New Roman"/>
          <w:color w:val="auto"/>
          <w:highlight w:val="none"/>
        </w:rPr>
        <w:t>到202</w:t>
      </w:r>
      <w:r>
        <w:rPr>
          <w:rFonts w:hint="eastAsia" w:ascii="Times New Roman" w:hAnsi="Times New Roman"/>
          <w:color w:val="auto"/>
          <w:highlight w:val="none"/>
          <w:lang w:val="en-US" w:eastAsia="zh-CN"/>
        </w:rPr>
        <w:t>6</w:t>
      </w:r>
      <w:r>
        <w:rPr>
          <w:rFonts w:hint="default" w:ascii="Times New Roman" w:hAnsi="Times New Roman"/>
          <w:color w:val="auto"/>
          <w:highlight w:val="none"/>
        </w:rPr>
        <w:t>年，</w:t>
      </w:r>
      <w:r>
        <w:rPr>
          <w:rFonts w:hint="default" w:ascii="Times New Roman" w:hAnsi="Times New Roman"/>
          <w:color w:val="auto"/>
          <w:highlight w:val="none"/>
          <w:lang w:val="en-US" w:eastAsia="zh-CN"/>
        </w:rPr>
        <w:t>全面提升</w:t>
      </w:r>
      <w:r>
        <w:rPr>
          <w:rFonts w:hint="default" w:ascii="Times New Roman" w:hAnsi="Times New Roman"/>
          <w:color w:val="auto"/>
          <w:highlight w:val="none"/>
        </w:rPr>
        <w:t>农业废弃物的肥料化、饲料化、原料化、能源化以及基料化利用水平</w:t>
      </w:r>
      <w:r>
        <w:rPr>
          <w:rFonts w:hint="default" w:ascii="Times New Roman" w:hAnsi="Times New Roman"/>
          <w:color w:val="auto"/>
          <w:highlight w:val="none"/>
          <w:lang w:eastAsia="zh-CN"/>
        </w:rPr>
        <w:t>，</w:t>
      </w:r>
      <w:r>
        <w:rPr>
          <w:rFonts w:hint="eastAsia" w:ascii="Times New Roman" w:hAnsi="Times New Roman"/>
          <w:color w:val="auto"/>
          <w:highlight w:val="none"/>
          <w:lang w:val="en-US" w:eastAsia="zh-CN"/>
        </w:rPr>
        <w:t>畜禽粪便（或秸秆）综合处理率</w:t>
      </w:r>
      <w:r>
        <w:rPr>
          <w:rFonts w:hint="default" w:ascii="Times New Roman" w:hAnsi="Times New Roman"/>
          <w:color w:val="auto"/>
          <w:highlight w:val="none"/>
          <w:lang w:val="en-US" w:eastAsia="zh-CN"/>
        </w:rPr>
        <w:t>达</w:t>
      </w:r>
      <w:r>
        <w:rPr>
          <w:rFonts w:hint="eastAsia" w:ascii="Times New Roman" w:hAnsi="Times New Roman"/>
          <w:color w:val="auto"/>
          <w:highlight w:val="none"/>
          <w:lang w:val="en-US" w:eastAsia="zh-CN"/>
        </w:rPr>
        <w:t>92</w:t>
      </w:r>
      <w:r>
        <w:rPr>
          <w:rFonts w:hint="default" w:ascii="Times New Roman" w:hAnsi="Times New Roman"/>
          <w:color w:val="auto"/>
          <w:highlight w:val="none"/>
          <w:lang w:val="en-US" w:eastAsia="zh-CN"/>
        </w:rPr>
        <w:t>%</w:t>
      </w:r>
      <w:r>
        <w:rPr>
          <w:rFonts w:hint="eastAsia" w:ascii="Times New Roman" w:hAnsi="Times New Roman"/>
          <w:color w:val="auto"/>
          <w:highlight w:val="none"/>
          <w:lang w:val="en-US" w:eastAsia="zh-CN"/>
        </w:rPr>
        <w:t>。</w:t>
      </w:r>
      <w:r>
        <w:rPr>
          <w:rFonts w:hint="default" w:ascii="Times New Roman" w:hAnsi="Times New Roman"/>
          <w:color w:val="auto"/>
          <w:highlight w:val="none"/>
        </w:rPr>
        <w:t>生产标准化、经营品牌化、质量可追溯</w:t>
      </w:r>
      <w:r>
        <w:rPr>
          <w:rFonts w:hint="default" w:ascii="Times New Roman" w:hAnsi="Times New Roman"/>
          <w:color w:val="auto"/>
          <w:highlight w:val="none"/>
          <w:lang w:eastAsia="zh-CN"/>
        </w:rPr>
        <w:t>，</w:t>
      </w:r>
      <w:r>
        <w:rPr>
          <w:rFonts w:hint="eastAsia" w:ascii="Times New Roman" w:hAnsi="Times New Roman"/>
          <w:color w:val="auto"/>
          <w:highlight w:val="none"/>
          <w:lang w:val="en-US" w:eastAsia="zh-CN"/>
        </w:rPr>
        <w:t>绿色食品和有机农产品认证个数达5个，认证面积达8300亩。</w:t>
      </w:r>
      <w:r>
        <w:rPr>
          <w:rFonts w:hint="default" w:ascii="Times New Roman" w:hAnsi="Times New Roman"/>
          <w:color w:val="auto"/>
          <w:highlight w:val="none"/>
        </w:rPr>
        <w:t>基本完成农产品质量安全追溯监管体系建设，</w:t>
      </w:r>
      <w:r>
        <w:rPr>
          <w:rFonts w:hint="eastAsia" w:ascii="Times New Roman" w:hAnsi="Times New Roman"/>
          <w:color w:val="auto"/>
          <w:highlight w:val="none"/>
          <w:lang w:val="en-US" w:eastAsia="zh-CN"/>
        </w:rPr>
        <w:t>园内农产品质量安全追溯管理比例达100%</w:t>
      </w:r>
      <w:r>
        <w:rPr>
          <w:rFonts w:hint="default" w:ascii="Times New Roman" w:hAnsi="Times New Roman"/>
          <w:color w:val="auto"/>
          <w:highlight w:val="none"/>
        </w:rPr>
        <w:t>。</w:t>
      </w:r>
    </w:p>
    <w:p w14:paraId="6319C2C0">
      <w:pPr>
        <w:pageBreakBefore w:val="0"/>
        <w:kinsoku/>
        <w:overflowPunct/>
        <w:topLinePunct w:val="0"/>
        <w:autoSpaceDE/>
        <w:autoSpaceDN/>
        <w:bidi w:val="0"/>
        <w:adjustRightInd/>
        <w:snapToGrid/>
        <w:spacing w:line="590" w:lineRule="exact"/>
        <w:rPr>
          <w:rFonts w:hint="eastAsia" w:ascii="Times New Roman" w:hAnsi="Times New Roman"/>
          <w:color w:val="auto"/>
          <w:highlight w:val="none"/>
          <w:lang w:eastAsia="zh-CN"/>
        </w:rPr>
      </w:pPr>
      <w:r>
        <w:rPr>
          <w:rFonts w:hint="eastAsia" w:ascii="Times New Roman" w:hAnsi="Times New Roman"/>
          <w:b/>
          <w:bCs/>
          <w:color w:val="auto"/>
          <w:highlight w:val="none"/>
          <w:lang w:val="en-US" w:eastAsia="zh-CN"/>
        </w:rPr>
        <w:t>5.</w:t>
      </w:r>
      <w:r>
        <w:rPr>
          <w:rFonts w:hint="default" w:ascii="Times New Roman" w:hAnsi="Times New Roman"/>
          <w:b/>
          <w:bCs/>
          <w:color w:val="auto"/>
          <w:highlight w:val="none"/>
          <w:lang w:val="en-US" w:eastAsia="zh-CN"/>
        </w:rPr>
        <w:t>辐射带动农民持续增收明显</w:t>
      </w:r>
      <w:r>
        <w:rPr>
          <w:rFonts w:hint="default" w:ascii="Times New Roman" w:hAnsi="Times New Roman"/>
          <w:b/>
          <w:bCs/>
          <w:color w:val="auto"/>
          <w:highlight w:val="none"/>
          <w:lang w:eastAsia="zh-CN"/>
        </w:rPr>
        <w:t>。</w:t>
      </w:r>
      <w:r>
        <w:rPr>
          <w:rFonts w:hint="default" w:ascii="Times New Roman" w:hAnsi="Times New Roman"/>
          <w:color w:val="auto"/>
          <w:highlight w:val="none"/>
        </w:rPr>
        <w:t>到202</w:t>
      </w:r>
      <w:r>
        <w:rPr>
          <w:rFonts w:hint="eastAsia" w:ascii="Times New Roman" w:hAnsi="Times New Roman"/>
          <w:color w:val="auto"/>
          <w:highlight w:val="none"/>
          <w:lang w:val="en-US" w:eastAsia="zh-CN"/>
        </w:rPr>
        <w:t>6</w:t>
      </w:r>
      <w:r>
        <w:rPr>
          <w:rFonts w:hint="default" w:ascii="Times New Roman" w:hAnsi="Times New Roman"/>
          <w:color w:val="auto"/>
          <w:highlight w:val="none"/>
        </w:rPr>
        <w:t>年</w:t>
      </w:r>
      <w:r>
        <w:rPr>
          <w:rFonts w:hint="eastAsia" w:ascii="Times New Roman" w:hAnsi="Times New Roman"/>
          <w:color w:val="auto"/>
          <w:highlight w:val="none"/>
          <w:lang w:eastAsia="zh-CN"/>
        </w:rPr>
        <w:t>，</w:t>
      </w:r>
      <w:r>
        <w:rPr>
          <w:rFonts w:hint="default" w:ascii="Times New Roman" w:hAnsi="Times New Roman"/>
          <w:color w:val="auto"/>
          <w:highlight w:val="none"/>
        </w:rPr>
        <w:t>入园企业与当地农户的利益联结机制</w:t>
      </w:r>
      <w:r>
        <w:rPr>
          <w:rFonts w:hint="default" w:ascii="Times New Roman" w:hAnsi="Times New Roman"/>
          <w:color w:val="auto"/>
          <w:highlight w:val="none"/>
          <w:lang w:val="en-US" w:eastAsia="zh-CN"/>
        </w:rPr>
        <w:t>全面</w:t>
      </w:r>
      <w:r>
        <w:rPr>
          <w:rFonts w:hint="default" w:ascii="Times New Roman" w:hAnsi="Times New Roman"/>
          <w:color w:val="auto"/>
          <w:highlight w:val="none"/>
        </w:rPr>
        <w:t>形成</w:t>
      </w:r>
      <w:r>
        <w:rPr>
          <w:rFonts w:hint="default" w:ascii="Times New Roman" w:hAnsi="Times New Roman"/>
          <w:color w:val="auto"/>
          <w:highlight w:val="none"/>
          <w:lang w:val="en-US" w:eastAsia="zh-CN"/>
        </w:rPr>
        <w:t>，带动农户人数达5万人，</w:t>
      </w:r>
      <w:r>
        <w:rPr>
          <w:rFonts w:hint="eastAsia" w:ascii="Times New Roman" w:hAnsi="Times New Roman"/>
          <w:color w:val="auto"/>
          <w:highlight w:val="none"/>
          <w:lang w:val="en-US" w:eastAsia="zh-CN"/>
        </w:rPr>
        <w:t>农民充分分享二三产业总值收益，二三产业带动就业人数达3.53万人。</w:t>
      </w:r>
      <w:r>
        <w:rPr>
          <w:rFonts w:hint="default" w:ascii="Times New Roman" w:hAnsi="Times New Roman"/>
          <w:color w:val="auto"/>
          <w:highlight w:val="none"/>
        </w:rPr>
        <w:t>产业园农民可支配收入持续稳定增长，</w:t>
      </w:r>
      <w:r>
        <w:rPr>
          <w:rFonts w:hint="default" w:ascii="Times New Roman" w:hAnsi="Times New Roman"/>
          <w:color w:val="auto"/>
          <w:highlight w:val="none"/>
          <w:lang w:val="en-US" w:eastAsia="zh-CN"/>
        </w:rPr>
        <w:t>园内</w:t>
      </w:r>
      <w:r>
        <w:rPr>
          <w:rFonts w:hint="default" w:ascii="Times New Roman" w:hAnsi="Times New Roman"/>
          <w:color w:val="auto"/>
          <w:highlight w:val="none"/>
        </w:rPr>
        <w:t>农民</w:t>
      </w:r>
      <w:r>
        <w:rPr>
          <w:rFonts w:hint="default" w:ascii="Times New Roman" w:hAnsi="Times New Roman"/>
          <w:color w:val="auto"/>
          <w:highlight w:val="none"/>
          <w:lang w:val="en-US" w:eastAsia="zh-CN"/>
        </w:rPr>
        <w:t>人均</w:t>
      </w:r>
      <w:r>
        <w:rPr>
          <w:rFonts w:hint="default" w:ascii="Times New Roman" w:hAnsi="Times New Roman"/>
          <w:color w:val="auto"/>
          <w:highlight w:val="none"/>
        </w:rPr>
        <w:t>可支配收入达到</w:t>
      </w:r>
      <w:r>
        <w:rPr>
          <w:rFonts w:hint="default" w:ascii="Times New Roman" w:hAnsi="Times New Roman"/>
          <w:color w:val="auto"/>
          <w:highlight w:val="none"/>
          <w:lang w:val="en-US" w:eastAsia="zh-CN"/>
        </w:rPr>
        <w:t>3.</w:t>
      </w:r>
      <w:r>
        <w:rPr>
          <w:rFonts w:hint="eastAsia" w:ascii="Times New Roman" w:hAnsi="Times New Roman"/>
          <w:color w:val="auto"/>
          <w:highlight w:val="none"/>
          <w:lang w:val="en-US" w:eastAsia="zh-CN"/>
        </w:rPr>
        <w:t>8</w:t>
      </w:r>
      <w:r>
        <w:rPr>
          <w:rFonts w:hint="default" w:ascii="Times New Roman" w:hAnsi="Times New Roman"/>
          <w:color w:val="auto"/>
          <w:highlight w:val="none"/>
        </w:rPr>
        <w:t>万元，高出当地平均水平</w:t>
      </w:r>
      <w:r>
        <w:rPr>
          <w:rFonts w:hint="default" w:ascii="Times New Roman" w:hAnsi="Times New Roman"/>
          <w:color w:val="auto"/>
          <w:highlight w:val="none"/>
          <w:lang w:val="en-US" w:eastAsia="zh-CN"/>
        </w:rPr>
        <w:t>32.1</w:t>
      </w:r>
      <w:r>
        <w:rPr>
          <w:rFonts w:hint="default" w:ascii="Times New Roman" w:hAnsi="Times New Roman"/>
          <w:color w:val="auto"/>
          <w:highlight w:val="none"/>
        </w:rPr>
        <w:t>%</w:t>
      </w:r>
      <w:r>
        <w:rPr>
          <w:rFonts w:hint="eastAsia" w:ascii="Times New Roman" w:hAnsi="Times New Roman"/>
          <w:color w:val="auto"/>
          <w:highlight w:val="none"/>
          <w:lang w:eastAsia="zh-CN"/>
        </w:rPr>
        <w:t>。</w:t>
      </w:r>
    </w:p>
    <w:p w14:paraId="57A4283F">
      <w:pPr>
        <w:pageBreakBefore w:val="0"/>
        <w:kinsoku/>
        <w:overflowPunct/>
        <w:topLinePunct w:val="0"/>
        <w:autoSpaceDE/>
        <w:autoSpaceDN/>
        <w:bidi w:val="0"/>
        <w:adjustRightInd/>
        <w:snapToGrid/>
        <w:spacing w:line="590" w:lineRule="exact"/>
        <w:rPr>
          <w:rFonts w:hint="default" w:ascii="Times New Roman" w:hAnsi="Times New Roman"/>
          <w:color w:val="auto"/>
          <w:highlight w:val="none"/>
          <w:lang w:val="en-US" w:eastAsia="zh-CN"/>
        </w:rPr>
      </w:pPr>
      <w:r>
        <w:rPr>
          <w:rFonts w:hint="eastAsia" w:ascii="Times New Roman" w:hAnsi="Times New Roman"/>
          <w:b/>
          <w:bCs/>
          <w:color w:val="auto"/>
          <w:highlight w:val="none"/>
          <w:lang w:val="en-US" w:eastAsia="zh-CN"/>
        </w:rPr>
        <w:t>6.资金往园区集聚、倾斜。</w:t>
      </w:r>
      <w:r>
        <w:rPr>
          <w:rFonts w:hint="eastAsia" w:ascii="Times New Roman" w:hAnsi="Times New Roman"/>
          <w:color w:val="auto"/>
          <w:highlight w:val="none"/>
          <w:lang w:val="en-US" w:eastAsia="zh-CN"/>
        </w:rPr>
        <w:t>到2026年，园区已建立稳定的资金多元投入机制，招商引资扶持政策完善，营商环境进一步优化，财政扶持资金往园区倾斜，金融信贷服务全面提升，撬动更多金融和社会资本投入产业园后续运营管理。财政投入累计达4.5亿元，金融机构对产业园的贷款余额累计达52.7亿元，社会资本投入累计达17亿元。</w:t>
      </w:r>
    </w:p>
    <w:p w14:paraId="64C423A6">
      <w:pPr>
        <w:pageBreakBefore w:val="0"/>
        <w:kinsoku/>
        <w:overflowPunct/>
        <w:topLinePunct w:val="0"/>
        <w:autoSpaceDE/>
        <w:autoSpaceDN/>
        <w:bidi w:val="0"/>
        <w:adjustRightInd/>
        <w:snapToGrid/>
        <w:spacing w:line="590" w:lineRule="exact"/>
        <w:ind w:firstLine="562" w:firstLineChars="200"/>
        <w:jc w:val="center"/>
        <w:rPr>
          <w:rFonts w:hint="default" w:ascii="Times New Roman" w:hAnsi="Times New Roman" w:cs="Times New Roman"/>
          <w:b/>
          <w:color w:val="auto"/>
          <w:sz w:val="28"/>
          <w:szCs w:val="28"/>
          <w:highlight w:val="none"/>
        </w:rPr>
      </w:pPr>
    </w:p>
    <w:p w14:paraId="338420F8">
      <w:pPr>
        <w:pageBreakBefore w:val="0"/>
        <w:kinsoku/>
        <w:overflowPunct/>
        <w:topLinePunct w:val="0"/>
        <w:autoSpaceDE/>
        <w:autoSpaceDN/>
        <w:bidi w:val="0"/>
        <w:adjustRightInd/>
        <w:snapToGrid/>
        <w:spacing w:line="590" w:lineRule="exact"/>
        <w:ind w:firstLine="562" w:firstLineChars="200"/>
        <w:jc w:val="center"/>
        <w:rPr>
          <w:rFonts w:hint="default" w:ascii="Times New Roman" w:hAnsi="Times New Roman" w:cs="Times New Roman"/>
          <w:b/>
          <w:color w:val="auto"/>
          <w:sz w:val="28"/>
          <w:szCs w:val="28"/>
          <w:highlight w:val="none"/>
        </w:rPr>
      </w:pPr>
    </w:p>
    <w:p w14:paraId="1CFD2A40">
      <w:pPr>
        <w:pageBreakBefore w:val="0"/>
        <w:kinsoku/>
        <w:overflowPunct/>
        <w:topLinePunct w:val="0"/>
        <w:autoSpaceDE/>
        <w:autoSpaceDN/>
        <w:bidi w:val="0"/>
        <w:adjustRightInd/>
        <w:snapToGrid/>
        <w:spacing w:line="590" w:lineRule="exact"/>
        <w:ind w:left="0" w:leftChars="0" w:firstLine="0" w:firstLineChars="0"/>
        <w:jc w:val="center"/>
        <w:outlineLvl w:val="0"/>
        <w:rPr>
          <w:rFonts w:hint="eastAsia" w:ascii="Times New Roman" w:hAnsi="Times New Roman" w:eastAsia="黑体" w:cs="Times New Roman"/>
          <w:b w:val="0"/>
          <w:bCs w:val="0"/>
          <w:color w:val="auto"/>
          <w:kern w:val="0"/>
          <w:sz w:val="28"/>
          <w:szCs w:val="28"/>
          <w:highlight w:val="none"/>
          <w:lang w:val="en-US" w:eastAsia="zh-CN"/>
        </w:rPr>
      </w:pPr>
      <w:bookmarkStart w:id="95" w:name="_Toc5886"/>
      <w:bookmarkStart w:id="96" w:name="_Toc1511"/>
      <w:r>
        <w:rPr>
          <w:rFonts w:hint="default" w:ascii="Times New Roman" w:hAnsi="Times New Roman" w:eastAsia="黑体" w:cs="Times New Roman"/>
          <w:b w:val="0"/>
          <w:bCs w:val="0"/>
          <w:color w:val="auto"/>
          <w:kern w:val="0"/>
          <w:sz w:val="28"/>
          <w:szCs w:val="28"/>
          <w:highlight w:val="none"/>
        </w:rPr>
        <w:t>广东省汕头市澄海区国家现代农业产业园</w:t>
      </w:r>
      <w:r>
        <w:rPr>
          <w:rFonts w:hint="eastAsia" w:ascii="Times New Roman" w:hAnsi="Times New Roman" w:eastAsia="黑体" w:cs="Times New Roman"/>
          <w:b w:val="0"/>
          <w:bCs w:val="0"/>
          <w:color w:val="auto"/>
          <w:kern w:val="0"/>
          <w:sz w:val="28"/>
          <w:szCs w:val="28"/>
          <w:highlight w:val="none"/>
          <w:lang w:eastAsia="zh-CN"/>
        </w:rPr>
        <w:t>建设</w:t>
      </w:r>
      <w:r>
        <w:rPr>
          <w:rFonts w:hint="default" w:ascii="Times New Roman" w:hAnsi="Times New Roman" w:eastAsia="黑体" w:cs="Times New Roman"/>
          <w:b w:val="0"/>
          <w:bCs w:val="0"/>
          <w:color w:val="auto"/>
          <w:kern w:val="0"/>
          <w:sz w:val="28"/>
          <w:szCs w:val="28"/>
          <w:highlight w:val="none"/>
        </w:rPr>
        <w:t>目标</w:t>
      </w:r>
      <w:r>
        <w:rPr>
          <w:rFonts w:hint="eastAsia" w:ascii="Times New Roman" w:hAnsi="Times New Roman" w:eastAsia="黑体" w:cs="Times New Roman"/>
          <w:b w:val="0"/>
          <w:bCs w:val="0"/>
          <w:color w:val="auto"/>
          <w:kern w:val="0"/>
          <w:sz w:val="28"/>
          <w:szCs w:val="28"/>
          <w:highlight w:val="none"/>
          <w:lang w:val="en-US" w:eastAsia="zh-CN"/>
        </w:rPr>
        <w:t>表</w:t>
      </w:r>
      <w:bookmarkEnd w:id="95"/>
      <w:bookmarkEnd w:id="96"/>
    </w:p>
    <w:tbl>
      <w:tblPr>
        <w:tblStyle w:val="24"/>
        <w:tblW w:w="94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7"/>
        <w:gridCol w:w="2462"/>
        <w:gridCol w:w="1151"/>
        <w:gridCol w:w="1234"/>
        <w:gridCol w:w="1177"/>
        <w:gridCol w:w="1178"/>
        <w:gridCol w:w="1148"/>
      </w:tblGrid>
      <w:tr w14:paraId="47896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jc w:val="center"/>
        </w:trPr>
        <w:tc>
          <w:tcPr>
            <w:tcW w:w="1147" w:type="dxa"/>
            <w:shd w:val="clear" w:color="auto" w:fill="auto"/>
            <w:noWrap/>
            <w:tcMar>
              <w:top w:w="15" w:type="dxa"/>
              <w:left w:w="15" w:type="dxa"/>
              <w:right w:w="15" w:type="dxa"/>
            </w:tcMar>
            <w:vAlign w:val="center"/>
          </w:tcPr>
          <w:p w14:paraId="7292222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黑体" w:cs="Times New Roman"/>
                <w:b/>
                <w:color w:val="auto"/>
                <w:sz w:val="24"/>
                <w:highlight w:val="none"/>
              </w:rPr>
            </w:pPr>
            <w:r>
              <w:rPr>
                <w:rFonts w:hint="default" w:ascii="Times New Roman" w:hAnsi="Times New Roman" w:eastAsia="黑体" w:cs="Times New Roman"/>
                <w:b/>
                <w:color w:val="auto"/>
                <w:sz w:val="24"/>
                <w:highlight w:val="none"/>
              </w:rPr>
              <w:t>一级标题</w:t>
            </w:r>
          </w:p>
        </w:tc>
        <w:tc>
          <w:tcPr>
            <w:tcW w:w="2462" w:type="dxa"/>
            <w:shd w:val="clear" w:color="auto" w:fill="auto"/>
            <w:tcMar>
              <w:top w:w="15" w:type="dxa"/>
              <w:left w:w="15" w:type="dxa"/>
              <w:right w:w="15" w:type="dxa"/>
            </w:tcMar>
            <w:vAlign w:val="center"/>
          </w:tcPr>
          <w:p w14:paraId="304040A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黑体" w:cs="Times New Roman"/>
                <w:b/>
                <w:color w:val="auto"/>
                <w:sz w:val="24"/>
                <w:highlight w:val="none"/>
              </w:rPr>
            </w:pPr>
            <w:r>
              <w:rPr>
                <w:rFonts w:hint="default" w:ascii="Times New Roman" w:hAnsi="Times New Roman" w:eastAsia="黑体" w:cs="Times New Roman"/>
                <w:b/>
                <w:color w:val="auto"/>
                <w:sz w:val="24"/>
                <w:highlight w:val="none"/>
              </w:rPr>
              <w:t>二级标题</w:t>
            </w:r>
          </w:p>
        </w:tc>
        <w:tc>
          <w:tcPr>
            <w:tcW w:w="1151" w:type="dxa"/>
            <w:shd w:val="clear" w:color="auto" w:fill="auto"/>
            <w:noWrap/>
            <w:tcMar>
              <w:top w:w="15" w:type="dxa"/>
              <w:left w:w="15" w:type="dxa"/>
              <w:right w:w="15" w:type="dxa"/>
            </w:tcMar>
            <w:vAlign w:val="center"/>
          </w:tcPr>
          <w:p w14:paraId="1DC2300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黑体" w:cs="Times New Roman"/>
                <w:b/>
                <w:color w:val="auto"/>
                <w:sz w:val="24"/>
                <w:highlight w:val="none"/>
              </w:rPr>
            </w:pPr>
            <w:r>
              <w:rPr>
                <w:rFonts w:hint="default" w:ascii="Times New Roman" w:hAnsi="Times New Roman" w:eastAsia="黑体" w:cs="Times New Roman"/>
                <w:b/>
                <w:color w:val="auto"/>
                <w:sz w:val="24"/>
                <w:highlight w:val="none"/>
              </w:rPr>
              <w:t>单位</w:t>
            </w:r>
          </w:p>
        </w:tc>
        <w:tc>
          <w:tcPr>
            <w:tcW w:w="1234" w:type="dxa"/>
            <w:shd w:val="clear" w:color="auto" w:fill="auto"/>
            <w:vAlign w:val="center"/>
          </w:tcPr>
          <w:p w14:paraId="214E378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黑体" w:cs="Times New Roman"/>
                <w:b/>
                <w:color w:val="auto"/>
                <w:sz w:val="24"/>
                <w:highlight w:val="none"/>
              </w:rPr>
            </w:pPr>
            <w:r>
              <w:rPr>
                <w:rFonts w:hint="default" w:ascii="Times New Roman" w:hAnsi="Times New Roman" w:eastAsia="黑体" w:cs="Times New Roman"/>
                <w:b/>
                <w:color w:val="auto"/>
                <w:sz w:val="24"/>
                <w:highlight w:val="none"/>
              </w:rPr>
              <w:t>基期值</w:t>
            </w:r>
          </w:p>
          <w:p w14:paraId="3D1EF8F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黑体" w:cs="Times New Roman"/>
                <w:b/>
                <w:color w:val="auto"/>
                <w:sz w:val="24"/>
                <w:highlight w:val="none"/>
              </w:rPr>
            </w:pPr>
            <w:r>
              <w:rPr>
                <w:rFonts w:hint="default" w:ascii="Times New Roman" w:hAnsi="Times New Roman" w:eastAsia="黑体" w:cs="Times New Roman"/>
                <w:b/>
                <w:color w:val="auto"/>
                <w:sz w:val="24"/>
                <w:highlight w:val="none"/>
              </w:rPr>
              <w:t>（202</w:t>
            </w:r>
            <w:r>
              <w:rPr>
                <w:rFonts w:hint="eastAsia" w:ascii="Times New Roman" w:hAnsi="Times New Roman" w:eastAsia="黑体" w:cs="Times New Roman"/>
                <w:b/>
                <w:color w:val="auto"/>
                <w:sz w:val="24"/>
                <w:highlight w:val="none"/>
                <w:lang w:val="en-US" w:eastAsia="zh-CN"/>
              </w:rPr>
              <w:t>3</w:t>
            </w:r>
            <w:r>
              <w:rPr>
                <w:rFonts w:hint="default" w:ascii="Times New Roman" w:hAnsi="Times New Roman" w:eastAsia="黑体" w:cs="Times New Roman"/>
                <w:b/>
                <w:color w:val="auto"/>
                <w:sz w:val="24"/>
                <w:highlight w:val="none"/>
              </w:rPr>
              <w:t>年）</w:t>
            </w:r>
          </w:p>
        </w:tc>
        <w:tc>
          <w:tcPr>
            <w:tcW w:w="1177" w:type="dxa"/>
            <w:shd w:val="clear" w:color="auto" w:fill="auto"/>
            <w:vAlign w:val="center"/>
          </w:tcPr>
          <w:p w14:paraId="4BBE0AA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黑体" w:cs="Times New Roman"/>
                <w:b/>
                <w:color w:val="auto"/>
                <w:sz w:val="24"/>
                <w:highlight w:val="none"/>
              </w:rPr>
            </w:pPr>
            <w:r>
              <w:rPr>
                <w:rFonts w:hint="default" w:ascii="Times New Roman" w:hAnsi="Times New Roman" w:eastAsia="黑体" w:cs="Times New Roman"/>
                <w:b/>
                <w:color w:val="auto"/>
                <w:sz w:val="24"/>
                <w:highlight w:val="none"/>
              </w:rPr>
              <w:t>目标值</w:t>
            </w:r>
          </w:p>
          <w:p w14:paraId="646566D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黑体" w:cs="Times New Roman"/>
                <w:b/>
                <w:color w:val="auto"/>
                <w:sz w:val="24"/>
                <w:highlight w:val="none"/>
              </w:rPr>
            </w:pPr>
            <w:r>
              <w:rPr>
                <w:rFonts w:hint="default" w:ascii="Times New Roman" w:hAnsi="Times New Roman" w:eastAsia="黑体" w:cs="Times New Roman"/>
                <w:b/>
                <w:color w:val="auto"/>
                <w:sz w:val="24"/>
                <w:highlight w:val="none"/>
              </w:rPr>
              <w:t>（202</w:t>
            </w:r>
            <w:r>
              <w:rPr>
                <w:rFonts w:hint="eastAsia" w:ascii="Times New Roman" w:hAnsi="Times New Roman" w:eastAsia="黑体" w:cs="Times New Roman"/>
                <w:b/>
                <w:color w:val="auto"/>
                <w:sz w:val="24"/>
                <w:highlight w:val="none"/>
                <w:lang w:val="en-US" w:eastAsia="zh-CN"/>
              </w:rPr>
              <w:t>4</w:t>
            </w:r>
            <w:r>
              <w:rPr>
                <w:rFonts w:hint="default" w:ascii="Times New Roman" w:hAnsi="Times New Roman" w:eastAsia="黑体" w:cs="Times New Roman"/>
                <w:b/>
                <w:color w:val="auto"/>
                <w:sz w:val="24"/>
                <w:highlight w:val="none"/>
              </w:rPr>
              <w:t>年）</w:t>
            </w:r>
          </w:p>
        </w:tc>
        <w:tc>
          <w:tcPr>
            <w:tcW w:w="1178" w:type="dxa"/>
            <w:shd w:val="clear" w:color="auto" w:fill="auto"/>
            <w:vAlign w:val="center"/>
          </w:tcPr>
          <w:p w14:paraId="6223ACA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黑体" w:cs="Times New Roman"/>
                <w:b/>
                <w:color w:val="auto"/>
                <w:sz w:val="24"/>
                <w:highlight w:val="none"/>
              </w:rPr>
            </w:pPr>
            <w:r>
              <w:rPr>
                <w:rFonts w:hint="default" w:ascii="Times New Roman" w:hAnsi="Times New Roman" w:eastAsia="黑体" w:cs="Times New Roman"/>
                <w:b/>
                <w:color w:val="auto"/>
                <w:sz w:val="24"/>
                <w:highlight w:val="none"/>
              </w:rPr>
              <w:t>目标值</w:t>
            </w:r>
          </w:p>
          <w:p w14:paraId="1D9CDA2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黑体" w:cs="Times New Roman"/>
                <w:b/>
                <w:color w:val="auto"/>
                <w:sz w:val="24"/>
                <w:highlight w:val="none"/>
              </w:rPr>
            </w:pPr>
            <w:r>
              <w:rPr>
                <w:rFonts w:hint="default" w:ascii="Times New Roman" w:hAnsi="Times New Roman" w:eastAsia="黑体" w:cs="Times New Roman"/>
                <w:b/>
                <w:color w:val="auto"/>
                <w:sz w:val="24"/>
                <w:highlight w:val="none"/>
              </w:rPr>
              <w:t>（202</w:t>
            </w:r>
            <w:r>
              <w:rPr>
                <w:rFonts w:hint="eastAsia" w:ascii="Times New Roman" w:hAnsi="Times New Roman" w:eastAsia="黑体" w:cs="Times New Roman"/>
                <w:b/>
                <w:color w:val="auto"/>
                <w:sz w:val="24"/>
                <w:highlight w:val="none"/>
                <w:lang w:val="en-US" w:eastAsia="zh-CN"/>
              </w:rPr>
              <w:t>5</w:t>
            </w:r>
            <w:r>
              <w:rPr>
                <w:rFonts w:hint="default" w:ascii="Times New Roman" w:hAnsi="Times New Roman" w:eastAsia="黑体" w:cs="Times New Roman"/>
                <w:b/>
                <w:color w:val="auto"/>
                <w:sz w:val="24"/>
                <w:highlight w:val="none"/>
              </w:rPr>
              <w:t>年）</w:t>
            </w:r>
          </w:p>
        </w:tc>
        <w:tc>
          <w:tcPr>
            <w:tcW w:w="1148" w:type="dxa"/>
            <w:shd w:val="clear" w:color="auto" w:fill="auto"/>
            <w:vAlign w:val="center"/>
          </w:tcPr>
          <w:p w14:paraId="2786F31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黑体" w:cs="Times New Roman"/>
                <w:b/>
                <w:color w:val="auto"/>
                <w:sz w:val="24"/>
                <w:highlight w:val="none"/>
              </w:rPr>
            </w:pPr>
            <w:r>
              <w:rPr>
                <w:rFonts w:hint="default" w:ascii="Times New Roman" w:hAnsi="Times New Roman" w:eastAsia="黑体" w:cs="Times New Roman"/>
                <w:b/>
                <w:color w:val="auto"/>
                <w:sz w:val="24"/>
                <w:highlight w:val="none"/>
              </w:rPr>
              <w:t>目标值</w:t>
            </w:r>
          </w:p>
          <w:p w14:paraId="392F0AF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b/>
                <w:color w:val="auto"/>
                <w:sz w:val="24"/>
                <w:highlight w:val="none"/>
              </w:rPr>
              <w:t>（202</w:t>
            </w:r>
            <w:r>
              <w:rPr>
                <w:rFonts w:hint="eastAsia" w:ascii="Times New Roman" w:hAnsi="Times New Roman" w:eastAsia="黑体" w:cs="Times New Roman"/>
                <w:b/>
                <w:color w:val="auto"/>
                <w:sz w:val="24"/>
                <w:highlight w:val="none"/>
                <w:lang w:val="en-US" w:eastAsia="zh-CN"/>
              </w:rPr>
              <w:t>6</w:t>
            </w:r>
            <w:r>
              <w:rPr>
                <w:rFonts w:hint="default" w:ascii="Times New Roman" w:hAnsi="Times New Roman" w:eastAsia="黑体" w:cs="Times New Roman"/>
                <w:b/>
                <w:color w:val="auto"/>
                <w:sz w:val="24"/>
                <w:highlight w:val="none"/>
              </w:rPr>
              <w:t>年）</w:t>
            </w:r>
          </w:p>
        </w:tc>
      </w:tr>
      <w:tr w14:paraId="5E706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47" w:type="dxa"/>
            <w:vMerge w:val="restart"/>
            <w:shd w:val="clear" w:color="auto" w:fill="auto"/>
            <w:noWrap/>
            <w:tcMar>
              <w:top w:w="15" w:type="dxa"/>
              <w:left w:w="15" w:type="dxa"/>
              <w:right w:w="15" w:type="dxa"/>
            </w:tcMar>
            <w:vAlign w:val="center"/>
          </w:tcPr>
          <w:p w14:paraId="062AA0C1">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 w:val="24"/>
                <w:highlight w:val="none"/>
              </w:rPr>
              <w:t>产业发展</w:t>
            </w:r>
          </w:p>
        </w:tc>
        <w:tc>
          <w:tcPr>
            <w:tcW w:w="2462" w:type="dxa"/>
            <w:shd w:val="clear" w:color="auto" w:fill="auto"/>
            <w:tcMar>
              <w:top w:w="15" w:type="dxa"/>
              <w:left w:w="15" w:type="dxa"/>
              <w:right w:w="15" w:type="dxa"/>
            </w:tcMar>
            <w:vAlign w:val="center"/>
          </w:tcPr>
          <w:p w14:paraId="6B935F7B">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Times New Roman" w:hAnsi="Times New Roman" w:eastAsia="仿宋_GB2312" w:cs="Times New Roman"/>
                <w:color w:val="auto"/>
                <w:kern w:val="2"/>
                <w:sz w:val="24"/>
                <w:szCs w:val="22"/>
                <w:highlight w:val="none"/>
                <w:lang w:val="en-US" w:eastAsia="zh-CN" w:bidi="ar-SA"/>
              </w:rPr>
            </w:pPr>
            <w:r>
              <w:rPr>
                <w:rFonts w:hint="default" w:ascii="Times New Roman" w:hAnsi="Times New Roman" w:eastAsia="仿宋_GB2312" w:cs="Times New Roman"/>
                <w:color w:val="auto"/>
                <w:sz w:val="24"/>
                <w:highlight w:val="none"/>
              </w:rPr>
              <w:t>狮头鹅出栏量</w:t>
            </w:r>
          </w:p>
        </w:tc>
        <w:tc>
          <w:tcPr>
            <w:tcW w:w="1151" w:type="dxa"/>
            <w:shd w:val="clear" w:color="auto" w:fill="auto"/>
            <w:noWrap/>
            <w:tcMar>
              <w:top w:w="15" w:type="dxa"/>
              <w:left w:w="15" w:type="dxa"/>
              <w:right w:w="15" w:type="dxa"/>
            </w:tcMar>
            <w:vAlign w:val="center"/>
          </w:tcPr>
          <w:p w14:paraId="72F498E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_GB2312" w:cs="Times New Roman"/>
                <w:color w:val="auto"/>
                <w:kern w:val="2"/>
                <w:sz w:val="24"/>
                <w:szCs w:val="22"/>
                <w:highlight w:val="none"/>
                <w:lang w:val="en-US" w:eastAsia="zh-CN" w:bidi="ar-SA"/>
              </w:rPr>
            </w:pPr>
            <w:r>
              <w:rPr>
                <w:rFonts w:hint="default" w:ascii="Times New Roman" w:hAnsi="Times New Roman" w:eastAsia="仿宋_GB2312" w:cs="Times New Roman"/>
                <w:color w:val="auto"/>
                <w:sz w:val="24"/>
                <w:highlight w:val="none"/>
              </w:rPr>
              <w:t>万只</w:t>
            </w:r>
          </w:p>
        </w:tc>
        <w:tc>
          <w:tcPr>
            <w:tcW w:w="1234" w:type="dxa"/>
            <w:shd w:val="clear" w:color="auto" w:fill="auto"/>
            <w:vAlign w:val="center"/>
          </w:tcPr>
          <w:p w14:paraId="2268C3C6">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2"/>
                <w:sz w:val="24"/>
                <w:szCs w:val="22"/>
                <w:highlight w:val="none"/>
                <w:lang w:val="en-US" w:eastAsia="zh-CN" w:bidi="ar-SA"/>
              </w:rPr>
            </w:pPr>
            <w:r>
              <w:rPr>
                <w:rFonts w:hint="eastAsia" w:ascii="Times New Roman" w:hAnsi="Times New Roman" w:cs="Times New Roman"/>
                <w:color w:val="auto"/>
                <w:sz w:val="24"/>
                <w:highlight w:val="none"/>
                <w:lang w:val="en-US" w:eastAsia="zh-CN"/>
              </w:rPr>
              <w:t>900</w:t>
            </w:r>
          </w:p>
        </w:tc>
        <w:tc>
          <w:tcPr>
            <w:tcW w:w="1177" w:type="dxa"/>
            <w:shd w:val="clear" w:color="auto" w:fill="auto"/>
            <w:vAlign w:val="center"/>
          </w:tcPr>
          <w:p w14:paraId="125BF8D0">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2"/>
                <w:sz w:val="24"/>
                <w:szCs w:val="22"/>
                <w:highlight w:val="none"/>
                <w:lang w:val="en-US" w:eastAsia="zh-CN" w:bidi="ar-SA"/>
              </w:rPr>
            </w:pPr>
            <w:r>
              <w:rPr>
                <w:rFonts w:hint="eastAsia" w:ascii="Times New Roman" w:hAnsi="Times New Roman" w:cs="Times New Roman"/>
                <w:color w:val="auto"/>
                <w:sz w:val="24"/>
                <w:highlight w:val="none"/>
                <w:lang w:val="en-US" w:eastAsia="zh-CN"/>
              </w:rPr>
              <w:t>920</w:t>
            </w:r>
          </w:p>
        </w:tc>
        <w:tc>
          <w:tcPr>
            <w:tcW w:w="1178" w:type="dxa"/>
            <w:shd w:val="clear" w:color="auto" w:fill="auto"/>
            <w:vAlign w:val="center"/>
          </w:tcPr>
          <w:p w14:paraId="7BC5B60A">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2"/>
                <w:sz w:val="24"/>
                <w:szCs w:val="22"/>
                <w:highlight w:val="none"/>
                <w:lang w:val="en-US" w:eastAsia="zh-CN" w:bidi="ar-SA"/>
              </w:rPr>
            </w:pPr>
            <w:r>
              <w:rPr>
                <w:rFonts w:hint="eastAsia" w:ascii="Times New Roman" w:hAnsi="Times New Roman" w:cs="Times New Roman"/>
                <w:color w:val="auto"/>
                <w:sz w:val="24"/>
                <w:highlight w:val="none"/>
                <w:lang w:val="en-US" w:eastAsia="zh-CN"/>
              </w:rPr>
              <w:t>940</w:t>
            </w:r>
          </w:p>
        </w:tc>
        <w:tc>
          <w:tcPr>
            <w:tcW w:w="1148" w:type="dxa"/>
            <w:shd w:val="clear" w:color="auto" w:fill="auto"/>
            <w:vAlign w:val="center"/>
          </w:tcPr>
          <w:p w14:paraId="768DE900">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2"/>
                <w:sz w:val="24"/>
                <w:szCs w:val="22"/>
                <w:highlight w:val="none"/>
                <w:lang w:val="en-US" w:eastAsia="zh-CN" w:bidi="ar-SA"/>
              </w:rPr>
            </w:pPr>
            <w:r>
              <w:rPr>
                <w:rFonts w:hint="eastAsia" w:ascii="Times New Roman" w:hAnsi="Times New Roman" w:cs="Times New Roman"/>
                <w:color w:val="auto"/>
                <w:sz w:val="24"/>
                <w:highlight w:val="none"/>
                <w:lang w:val="en-US" w:eastAsia="zh-CN"/>
              </w:rPr>
              <w:t>1000</w:t>
            </w:r>
          </w:p>
        </w:tc>
      </w:tr>
      <w:tr w14:paraId="3BED3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47" w:type="dxa"/>
            <w:vMerge w:val="continue"/>
            <w:shd w:val="clear" w:color="auto" w:fill="auto"/>
            <w:noWrap/>
            <w:tcMar>
              <w:top w:w="15" w:type="dxa"/>
              <w:left w:w="15" w:type="dxa"/>
              <w:right w:w="15" w:type="dxa"/>
            </w:tcMar>
            <w:vAlign w:val="center"/>
          </w:tcPr>
          <w:p w14:paraId="374C5C34">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color w:val="auto"/>
                <w:szCs w:val="21"/>
                <w:highlight w:val="none"/>
              </w:rPr>
            </w:pPr>
          </w:p>
        </w:tc>
        <w:tc>
          <w:tcPr>
            <w:tcW w:w="2462" w:type="dxa"/>
            <w:shd w:val="clear" w:color="auto" w:fill="auto"/>
            <w:tcMar>
              <w:top w:w="15" w:type="dxa"/>
              <w:left w:w="15" w:type="dxa"/>
              <w:right w:w="15" w:type="dxa"/>
            </w:tcMar>
            <w:vAlign w:val="center"/>
          </w:tcPr>
          <w:p w14:paraId="743FE7B7">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狮头鹅产量</w:t>
            </w:r>
          </w:p>
        </w:tc>
        <w:tc>
          <w:tcPr>
            <w:tcW w:w="1151" w:type="dxa"/>
            <w:shd w:val="clear" w:color="auto" w:fill="auto"/>
            <w:noWrap/>
            <w:tcMar>
              <w:top w:w="15" w:type="dxa"/>
              <w:left w:w="15" w:type="dxa"/>
              <w:right w:w="15" w:type="dxa"/>
            </w:tcMar>
            <w:vAlign w:val="center"/>
          </w:tcPr>
          <w:p w14:paraId="1C11F40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eastAsia"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吨</w:t>
            </w:r>
          </w:p>
        </w:tc>
        <w:tc>
          <w:tcPr>
            <w:tcW w:w="1234" w:type="dxa"/>
            <w:shd w:val="clear" w:color="auto" w:fill="auto"/>
            <w:vAlign w:val="center"/>
          </w:tcPr>
          <w:p w14:paraId="17D638DB">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135000</w:t>
            </w:r>
          </w:p>
        </w:tc>
        <w:tc>
          <w:tcPr>
            <w:tcW w:w="1177" w:type="dxa"/>
            <w:shd w:val="clear" w:color="auto" w:fill="auto"/>
            <w:vAlign w:val="center"/>
          </w:tcPr>
          <w:p w14:paraId="30178BD0">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138000</w:t>
            </w:r>
          </w:p>
        </w:tc>
        <w:tc>
          <w:tcPr>
            <w:tcW w:w="1178" w:type="dxa"/>
            <w:shd w:val="clear" w:color="auto" w:fill="auto"/>
            <w:vAlign w:val="center"/>
          </w:tcPr>
          <w:p w14:paraId="4C18DB62">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141000</w:t>
            </w:r>
          </w:p>
        </w:tc>
        <w:tc>
          <w:tcPr>
            <w:tcW w:w="1148" w:type="dxa"/>
            <w:shd w:val="clear" w:color="auto" w:fill="auto"/>
            <w:vAlign w:val="center"/>
          </w:tcPr>
          <w:p w14:paraId="1126B226">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150000</w:t>
            </w:r>
          </w:p>
        </w:tc>
      </w:tr>
      <w:tr w14:paraId="4F89D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47" w:type="dxa"/>
            <w:vMerge w:val="continue"/>
            <w:shd w:val="clear" w:color="auto" w:fill="auto"/>
            <w:noWrap/>
            <w:tcMar>
              <w:top w:w="15" w:type="dxa"/>
              <w:left w:w="15" w:type="dxa"/>
              <w:right w:w="15" w:type="dxa"/>
            </w:tcMar>
            <w:vAlign w:val="center"/>
          </w:tcPr>
          <w:p w14:paraId="781ABAD6">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color w:val="auto"/>
                <w:szCs w:val="21"/>
                <w:highlight w:val="none"/>
              </w:rPr>
            </w:pPr>
          </w:p>
        </w:tc>
        <w:tc>
          <w:tcPr>
            <w:tcW w:w="2462" w:type="dxa"/>
            <w:shd w:val="clear" w:color="auto" w:fill="auto"/>
            <w:tcMar>
              <w:top w:w="15" w:type="dxa"/>
              <w:left w:w="15" w:type="dxa"/>
              <w:right w:w="15" w:type="dxa"/>
            </w:tcMar>
            <w:vAlign w:val="center"/>
          </w:tcPr>
          <w:p w14:paraId="234C20B5">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养殖面积</w:t>
            </w:r>
          </w:p>
        </w:tc>
        <w:tc>
          <w:tcPr>
            <w:tcW w:w="1151" w:type="dxa"/>
            <w:shd w:val="clear" w:color="auto" w:fill="auto"/>
            <w:noWrap/>
            <w:tcMar>
              <w:top w:w="15" w:type="dxa"/>
              <w:left w:w="15" w:type="dxa"/>
              <w:right w:w="15" w:type="dxa"/>
            </w:tcMar>
            <w:vAlign w:val="center"/>
          </w:tcPr>
          <w:p w14:paraId="16D6140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eastAsia"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亩</w:t>
            </w:r>
          </w:p>
        </w:tc>
        <w:tc>
          <w:tcPr>
            <w:tcW w:w="1234" w:type="dxa"/>
            <w:shd w:val="clear" w:color="auto" w:fill="auto"/>
            <w:vAlign w:val="center"/>
          </w:tcPr>
          <w:p w14:paraId="23CD62C3">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5500</w:t>
            </w:r>
          </w:p>
        </w:tc>
        <w:tc>
          <w:tcPr>
            <w:tcW w:w="1177" w:type="dxa"/>
            <w:shd w:val="clear" w:color="auto" w:fill="auto"/>
            <w:vAlign w:val="center"/>
          </w:tcPr>
          <w:p w14:paraId="0F89D80F">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5750</w:t>
            </w:r>
          </w:p>
        </w:tc>
        <w:tc>
          <w:tcPr>
            <w:tcW w:w="1178" w:type="dxa"/>
            <w:shd w:val="clear" w:color="auto" w:fill="auto"/>
            <w:vAlign w:val="center"/>
          </w:tcPr>
          <w:p w14:paraId="5A407FF4">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5875</w:t>
            </w:r>
          </w:p>
        </w:tc>
        <w:tc>
          <w:tcPr>
            <w:tcW w:w="1148" w:type="dxa"/>
            <w:shd w:val="clear" w:color="auto" w:fill="auto"/>
            <w:vAlign w:val="center"/>
          </w:tcPr>
          <w:p w14:paraId="05C26F72">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6250</w:t>
            </w:r>
          </w:p>
        </w:tc>
      </w:tr>
      <w:tr w14:paraId="34180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47" w:type="dxa"/>
            <w:vMerge w:val="continue"/>
            <w:shd w:val="clear" w:color="auto" w:fill="auto"/>
            <w:noWrap/>
            <w:tcMar>
              <w:top w:w="15" w:type="dxa"/>
              <w:left w:w="15" w:type="dxa"/>
              <w:right w:w="15" w:type="dxa"/>
            </w:tcMar>
            <w:vAlign w:val="center"/>
          </w:tcPr>
          <w:p w14:paraId="73DDD77F">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color w:val="auto"/>
                <w:szCs w:val="21"/>
                <w:highlight w:val="none"/>
              </w:rPr>
            </w:pPr>
          </w:p>
        </w:tc>
        <w:tc>
          <w:tcPr>
            <w:tcW w:w="2462" w:type="dxa"/>
            <w:shd w:val="clear" w:color="auto" w:fill="auto"/>
            <w:tcMar>
              <w:top w:w="15" w:type="dxa"/>
              <w:left w:w="15" w:type="dxa"/>
              <w:right w:w="15" w:type="dxa"/>
            </w:tcMar>
            <w:vAlign w:val="center"/>
          </w:tcPr>
          <w:p w14:paraId="36431150">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其中：标准化养殖面积</w:t>
            </w:r>
          </w:p>
        </w:tc>
        <w:tc>
          <w:tcPr>
            <w:tcW w:w="1151" w:type="dxa"/>
            <w:shd w:val="clear" w:color="auto" w:fill="auto"/>
            <w:noWrap/>
            <w:tcMar>
              <w:top w:w="15" w:type="dxa"/>
              <w:left w:w="15" w:type="dxa"/>
              <w:right w:w="15" w:type="dxa"/>
            </w:tcMar>
            <w:vAlign w:val="center"/>
          </w:tcPr>
          <w:p w14:paraId="319B32C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_GB2312" w:cs="Times New Roman"/>
                <w:color w:val="auto"/>
                <w:sz w:val="24"/>
                <w:highlight w:val="none"/>
              </w:rPr>
            </w:pPr>
            <w:r>
              <w:rPr>
                <w:rFonts w:hint="eastAsia" w:ascii="Times New Roman" w:hAnsi="Times New Roman" w:cs="Times New Roman"/>
                <w:color w:val="auto"/>
                <w:sz w:val="24"/>
                <w:highlight w:val="none"/>
                <w:lang w:val="en-US" w:eastAsia="zh-CN"/>
              </w:rPr>
              <w:t>亩</w:t>
            </w:r>
          </w:p>
        </w:tc>
        <w:tc>
          <w:tcPr>
            <w:tcW w:w="1234" w:type="dxa"/>
            <w:shd w:val="clear" w:color="auto" w:fill="auto"/>
            <w:vAlign w:val="center"/>
          </w:tcPr>
          <w:p w14:paraId="34EABC0D">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4800</w:t>
            </w:r>
          </w:p>
        </w:tc>
        <w:tc>
          <w:tcPr>
            <w:tcW w:w="1177" w:type="dxa"/>
            <w:shd w:val="clear" w:color="auto" w:fill="auto"/>
            <w:vAlign w:val="center"/>
          </w:tcPr>
          <w:p w14:paraId="57092FC2">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4900</w:t>
            </w:r>
          </w:p>
        </w:tc>
        <w:tc>
          <w:tcPr>
            <w:tcW w:w="1178" w:type="dxa"/>
            <w:shd w:val="clear" w:color="auto" w:fill="auto"/>
            <w:vAlign w:val="center"/>
          </w:tcPr>
          <w:p w14:paraId="1862B33A">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5000</w:t>
            </w:r>
          </w:p>
        </w:tc>
        <w:tc>
          <w:tcPr>
            <w:tcW w:w="1148" w:type="dxa"/>
            <w:shd w:val="clear" w:color="auto" w:fill="auto"/>
            <w:vAlign w:val="center"/>
          </w:tcPr>
          <w:p w14:paraId="1BF96AF9">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5100</w:t>
            </w:r>
          </w:p>
        </w:tc>
      </w:tr>
      <w:tr w14:paraId="3F954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47" w:type="dxa"/>
            <w:vMerge w:val="restart"/>
            <w:shd w:val="clear" w:color="auto" w:fill="auto"/>
            <w:noWrap/>
            <w:tcMar>
              <w:top w:w="15" w:type="dxa"/>
              <w:left w:w="15" w:type="dxa"/>
              <w:right w:w="15" w:type="dxa"/>
            </w:tcMar>
            <w:vAlign w:val="center"/>
          </w:tcPr>
          <w:p w14:paraId="6340A806">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bCs/>
                <w:color w:val="auto"/>
                <w:sz w:val="24"/>
                <w:highlight w:val="none"/>
              </w:rPr>
            </w:pPr>
            <w:r>
              <w:rPr>
                <w:rFonts w:hint="default" w:ascii="Times New Roman" w:hAnsi="Times New Roman" w:eastAsia="仿宋_GB2312" w:cs="Times New Roman"/>
                <w:b/>
                <w:bCs/>
                <w:color w:val="auto"/>
                <w:sz w:val="24"/>
                <w:highlight w:val="none"/>
              </w:rPr>
              <w:t>主导产业</w:t>
            </w:r>
          </w:p>
        </w:tc>
        <w:tc>
          <w:tcPr>
            <w:tcW w:w="2462" w:type="dxa"/>
            <w:shd w:val="clear" w:color="auto" w:fill="auto"/>
            <w:tcMar>
              <w:top w:w="15" w:type="dxa"/>
              <w:left w:w="15" w:type="dxa"/>
              <w:right w:w="15" w:type="dxa"/>
            </w:tcMar>
            <w:vAlign w:val="center"/>
          </w:tcPr>
          <w:p w14:paraId="75AE0FD9">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产业园总产值</w:t>
            </w:r>
          </w:p>
        </w:tc>
        <w:tc>
          <w:tcPr>
            <w:tcW w:w="1151" w:type="dxa"/>
            <w:shd w:val="clear" w:color="auto" w:fill="auto"/>
            <w:noWrap/>
            <w:tcMar>
              <w:top w:w="15" w:type="dxa"/>
              <w:left w:w="15" w:type="dxa"/>
              <w:right w:w="15" w:type="dxa"/>
            </w:tcMar>
            <w:vAlign w:val="center"/>
          </w:tcPr>
          <w:p w14:paraId="6D1AB10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eastAsia"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万元</w:t>
            </w:r>
          </w:p>
        </w:tc>
        <w:tc>
          <w:tcPr>
            <w:tcW w:w="1234" w:type="dxa"/>
            <w:shd w:val="clear" w:color="auto" w:fill="auto"/>
            <w:vAlign w:val="center"/>
          </w:tcPr>
          <w:p w14:paraId="5CEEF4DA">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1455900</w:t>
            </w:r>
          </w:p>
        </w:tc>
        <w:tc>
          <w:tcPr>
            <w:tcW w:w="1177" w:type="dxa"/>
            <w:shd w:val="clear" w:color="auto" w:fill="auto"/>
            <w:vAlign w:val="center"/>
          </w:tcPr>
          <w:p w14:paraId="3BC189F4">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2"/>
                <w:sz w:val="24"/>
                <w:szCs w:val="22"/>
                <w:highlight w:val="none"/>
                <w:lang w:val="en-US" w:eastAsia="zh-CN" w:bidi="ar-SA"/>
              </w:rPr>
            </w:pPr>
            <w:r>
              <w:rPr>
                <w:rFonts w:hint="eastAsia" w:ascii="Times New Roman" w:hAnsi="Times New Roman" w:cs="Times New Roman"/>
                <w:color w:val="auto"/>
                <w:sz w:val="24"/>
                <w:highlight w:val="none"/>
                <w:lang w:val="en-US" w:eastAsia="zh-CN"/>
              </w:rPr>
              <w:t>1514000</w:t>
            </w:r>
          </w:p>
        </w:tc>
        <w:tc>
          <w:tcPr>
            <w:tcW w:w="1178" w:type="dxa"/>
            <w:shd w:val="clear" w:color="auto" w:fill="auto"/>
            <w:vAlign w:val="center"/>
          </w:tcPr>
          <w:p w14:paraId="1BF295BE">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2"/>
                <w:sz w:val="24"/>
                <w:szCs w:val="22"/>
                <w:highlight w:val="none"/>
                <w:lang w:val="en-US" w:eastAsia="zh-CN" w:bidi="ar-SA"/>
              </w:rPr>
            </w:pPr>
            <w:r>
              <w:rPr>
                <w:rFonts w:hint="eastAsia" w:ascii="Times New Roman" w:hAnsi="Times New Roman" w:cs="Times New Roman"/>
                <w:color w:val="auto"/>
                <w:sz w:val="24"/>
                <w:highlight w:val="none"/>
                <w:lang w:val="en-US" w:eastAsia="zh-CN"/>
              </w:rPr>
              <w:t>1572000</w:t>
            </w:r>
          </w:p>
        </w:tc>
        <w:tc>
          <w:tcPr>
            <w:tcW w:w="1148" w:type="dxa"/>
            <w:shd w:val="clear" w:color="auto" w:fill="auto"/>
            <w:vAlign w:val="center"/>
          </w:tcPr>
          <w:p w14:paraId="0FC3D46C">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2"/>
                <w:sz w:val="24"/>
                <w:szCs w:val="22"/>
                <w:highlight w:val="none"/>
                <w:lang w:val="en-US" w:eastAsia="zh-CN" w:bidi="ar-SA"/>
              </w:rPr>
            </w:pPr>
            <w:r>
              <w:rPr>
                <w:rFonts w:hint="eastAsia" w:ascii="Times New Roman" w:hAnsi="Times New Roman" w:cs="Times New Roman"/>
                <w:color w:val="auto"/>
                <w:sz w:val="24"/>
                <w:highlight w:val="none"/>
                <w:lang w:val="en-US" w:eastAsia="zh-CN"/>
              </w:rPr>
              <w:t>1630000</w:t>
            </w:r>
          </w:p>
        </w:tc>
      </w:tr>
      <w:tr w14:paraId="4F4B1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47" w:type="dxa"/>
            <w:vMerge w:val="continue"/>
            <w:shd w:val="clear" w:color="auto" w:fill="auto"/>
            <w:noWrap/>
            <w:tcMar>
              <w:top w:w="15" w:type="dxa"/>
              <w:left w:w="15" w:type="dxa"/>
              <w:right w:w="15" w:type="dxa"/>
            </w:tcMar>
            <w:vAlign w:val="center"/>
          </w:tcPr>
          <w:p w14:paraId="59342B22">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bCs/>
                <w:color w:val="auto"/>
                <w:sz w:val="24"/>
                <w:highlight w:val="none"/>
              </w:rPr>
            </w:pPr>
          </w:p>
        </w:tc>
        <w:tc>
          <w:tcPr>
            <w:tcW w:w="2462" w:type="dxa"/>
            <w:shd w:val="clear" w:color="auto" w:fill="auto"/>
            <w:tcMar>
              <w:top w:w="15" w:type="dxa"/>
              <w:left w:w="15" w:type="dxa"/>
              <w:right w:w="15" w:type="dxa"/>
            </w:tcMar>
            <w:vAlign w:val="center"/>
          </w:tcPr>
          <w:p w14:paraId="55749586">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主导产业产值</w:t>
            </w:r>
          </w:p>
        </w:tc>
        <w:tc>
          <w:tcPr>
            <w:tcW w:w="1151" w:type="dxa"/>
            <w:shd w:val="clear" w:color="auto" w:fill="auto"/>
            <w:noWrap/>
            <w:tcMar>
              <w:top w:w="15" w:type="dxa"/>
              <w:left w:w="15" w:type="dxa"/>
              <w:right w:w="15" w:type="dxa"/>
            </w:tcMar>
            <w:vAlign w:val="center"/>
          </w:tcPr>
          <w:p w14:paraId="3FD75DD4">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rPr>
            </w:pPr>
            <w:r>
              <w:rPr>
                <w:rFonts w:hint="eastAsia" w:ascii="Times New Roman" w:hAnsi="Times New Roman" w:cs="Times New Roman"/>
                <w:color w:val="auto"/>
                <w:sz w:val="24"/>
                <w:highlight w:val="none"/>
                <w:lang w:val="en-US" w:eastAsia="zh-CN"/>
              </w:rPr>
              <w:t>万元</w:t>
            </w:r>
          </w:p>
        </w:tc>
        <w:tc>
          <w:tcPr>
            <w:tcW w:w="1234" w:type="dxa"/>
            <w:shd w:val="clear" w:color="auto" w:fill="auto"/>
            <w:vAlign w:val="center"/>
          </w:tcPr>
          <w:p w14:paraId="4A555E12">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954900</w:t>
            </w:r>
          </w:p>
        </w:tc>
        <w:tc>
          <w:tcPr>
            <w:tcW w:w="1177" w:type="dxa"/>
            <w:shd w:val="clear" w:color="auto" w:fill="auto"/>
            <w:vAlign w:val="center"/>
          </w:tcPr>
          <w:p w14:paraId="10AA7378">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2"/>
                <w:sz w:val="24"/>
                <w:szCs w:val="22"/>
                <w:highlight w:val="none"/>
                <w:lang w:val="en-US" w:eastAsia="zh-CN" w:bidi="ar-SA"/>
              </w:rPr>
            </w:pPr>
            <w:r>
              <w:rPr>
                <w:rFonts w:hint="eastAsia" w:ascii="Times New Roman" w:hAnsi="Times New Roman" w:cs="Times New Roman"/>
                <w:color w:val="auto"/>
                <w:sz w:val="24"/>
                <w:highlight w:val="none"/>
                <w:lang w:val="en-US" w:eastAsia="zh-CN"/>
              </w:rPr>
              <w:t>1002600</w:t>
            </w:r>
          </w:p>
        </w:tc>
        <w:tc>
          <w:tcPr>
            <w:tcW w:w="1178" w:type="dxa"/>
            <w:shd w:val="clear" w:color="auto" w:fill="auto"/>
            <w:vAlign w:val="center"/>
          </w:tcPr>
          <w:p w14:paraId="7B94AE6F">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2"/>
                <w:sz w:val="24"/>
                <w:szCs w:val="22"/>
                <w:highlight w:val="none"/>
                <w:lang w:val="en-US" w:eastAsia="zh-CN" w:bidi="ar-SA"/>
              </w:rPr>
            </w:pPr>
            <w:r>
              <w:rPr>
                <w:rFonts w:hint="eastAsia" w:ascii="Times New Roman" w:hAnsi="Times New Roman" w:cs="Times New Roman"/>
                <w:color w:val="auto"/>
                <w:sz w:val="24"/>
                <w:highlight w:val="none"/>
                <w:lang w:val="en-US" w:eastAsia="zh-CN"/>
              </w:rPr>
              <w:t>1050000</w:t>
            </w:r>
          </w:p>
        </w:tc>
        <w:tc>
          <w:tcPr>
            <w:tcW w:w="1148" w:type="dxa"/>
            <w:shd w:val="clear" w:color="auto" w:fill="auto"/>
            <w:vAlign w:val="center"/>
          </w:tcPr>
          <w:p w14:paraId="50EBCF41">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2"/>
                <w:sz w:val="24"/>
                <w:szCs w:val="22"/>
                <w:highlight w:val="none"/>
                <w:lang w:val="en-US" w:eastAsia="zh-CN" w:bidi="ar-SA"/>
              </w:rPr>
            </w:pPr>
            <w:r>
              <w:rPr>
                <w:rFonts w:hint="eastAsia" w:ascii="Times New Roman" w:hAnsi="Times New Roman" w:cs="Times New Roman"/>
                <w:color w:val="auto"/>
                <w:sz w:val="24"/>
                <w:highlight w:val="none"/>
                <w:lang w:val="en-US" w:eastAsia="zh-CN"/>
              </w:rPr>
              <w:t>1098000</w:t>
            </w:r>
          </w:p>
        </w:tc>
      </w:tr>
      <w:tr w14:paraId="41C6C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47" w:type="dxa"/>
            <w:vMerge w:val="continue"/>
            <w:shd w:val="clear" w:color="auto" w:fill="auto"/>
            <w:noWrap/>
            <w:tcMar>
              <w:top w:w="15" w:type="dxa"/>
              <w:left w:w="15" w:type="dxa"/>
              <w:right w:w="15" w:type="dxa"/>
            </w:tcMar>
            <w:vAlign w:val="center"/>
          </w:tcPr>
          <w:p w14:paraId="120DCA48">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bCs/>
                <w:color w:val="auto"/>
                <w:sz w:val="24"/>
                <w:highlight w:val="none"/>
              </w:rPr>
            </w:pPr>
            <w:bookmarkStart w:id="97" w:name="OLE_LINK1" w:colFirst="1" w:colLast="6"/>
          </w:p>
        </w:tc>
        <w:tc>
          <w:tcPr>
            <w:tcW w:w="2462" w:type="dxa"/>
            <w:shd w:val="clear" w:color="auto" w:fill="auto"/>
            <w:tcMar>
              <w:top w:w="15" w:type="dxa"/>
              <w:left w:w="15" w:type="dxa"/>
              <w:right w:w="15" w:type="dxa"/>
            </w:tcMar>
            <w:vAlign w:val="center"/>
          </w:tcPr>
          <w:p w14:paraId="3AC7A4A9">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其中：一产产值</w:t>
            </w:r>
          </w:p>
        </w:tc>
        <w:tc>
          <w:tcPr>
            <w:tcW w:w="1151" w:type="dxa"/>
            <w:shd w:val="clear" w:color="auto" w:fill="auto"/>
            <w:noWrap/>
            <w:tcMar>
              <w:top w:w="15" w:type="dxa"/>
              <w:left w:w="15" w:type="dxa"/>
              <w:right w:w="15" w:type="dxa"/>
            </w:tcMar>
            <w:vAlign w:val="center"/>
          </w:tcPr>
          <w:p w14:paraId="308D0F9F">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rPr>
            </w:pPr>
            <w:r>
              <w:rPr>
                <w:rFonts w:hint="eastAsia" w:ascii="Times New Roman" w:hAnsi="Times New Roman" w:cs="Times New Roman"/>
                <w:color w:val="auto"/>
                <w:sz w:val="24"/>
                <w:highlight w:val="none"/>
                <w:lang w:val="en-US" w:eastAsia="zh-CN"/>
              </w:rPr>
              <w:t>万元</w:t>
            </w:r>
          </w:p>
        </w:tc>
        <w:tc>
          <w:tcPr>
            <w:tcW w:w="1234" w:type="dxa"/>
            <w:shd w:val="clear" w:color="auto" w:fill="auto"/>
            <w:vAlign w:val="center"/>
          </w:tcPr>
          <w:p w14:paraId="358780B7">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216000</w:t>
            </w:r>
          </w:p>
        </w:tc>
        <w:tc>
          <w:tcPr>
            <w:tcW w:w="1177" w:type="dxa"/>
            <w:shd w:val="clear" w:color="auto" w:fill="auto"/>
            <w:vAlign w:val="center"/>
          </w:tcPr>
          <w:p w14:paraId="645C6B8A">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220000</w:t>
            </w:r>
          </w:p>
        </w:tc>
        <w:tc>
          <w:tcPr>
            <w:tcW w:w="1178" w:type="dxa"/>
            <w:shd w:val="clear" w:color="auto" w:fill="auto"/>
            <w:vAlign w:val="center"/>
          </w:tcPr>
          <w:p w14:paraId="48559746">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230000</w:t>
            </w:r>
          </w:p>
        </w:tc>
        <w:tc>
          <w:tcPr>
            <w:tcW w:w="1148" w:type="dxa"/>
            <w:shd w:val="clear" w:color="auto" w:fill="auto"/>
            <w:vAlign w:val="center"/>
          </w:tcPr>
          <w:p w14:paraId="2159BE40">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240000</w:t>
            </w:r>
          </w:p>
        </w:tc>
      </w:tr>
      <w:tr w14:paraId="248A6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47" w:type="dxa"/>
            <w:vMerge w:val="continue"/>
            <w:shd w:val="clear" w:color="auto" w:fill="auto"/>
            <w:noWrap/>
            <w:tcMar>
              <w:top w:w="15" w:type="dxa"/>
              <w:left w:w="15" w:type="dxa"/>
              <w:right w:w="15" w:type="dxa"/>
            </w:tcMar>
            <w:vAlign w:val="center"/>
          </w:tcPr>
          <w:p w14:paraId="386A71E1">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bCs/>
                <w:color w:val="auto"/>
                <w:sz w:val="24"/>
                <w:highlight w:val="none"/>
              </w:rPr>
            </w:pPr>
          </w:p>
        </w:tc>
        <w:tc>
          <w:tcPr>
            <w:tcW w:w="2462" w:type="dxa"/>
            <w:shd w:val="clear" w:color="auto" w:fill="auto"/>
            <w:tcMar>
              <w:top w:w="15" w:type="dxa"/>
              <w:left w:w="15" w:type="dxa"/>
              <w:right w:w="15" w:type="dxa"/>
            </w:tcMar>
            <w:vAlign w:val="center"/>
          </w:tcPr>
          <w:p w14:paraId="365CBF9E">
            <w:pPr>
              <w:keepNext w:val="0"/>
              <w:keepLines w:val="0"/>
              <w:pageBreakBefore w:val="0"/>
              <w:widowControl/>
              <w:kinsoku/>
              <w:wordWrap/>
              <w:overflowPunct/>
              <w:topLinePunct w:val="0"/>
              <w:autoSpaceDE/>
              <w:autoSpaceDN/>
              <w:bidi w:val="0"/>
              <w:adjustRightInd/>
              <w:snapToGrid/>
              <w:spacing w:line="300" w:lineRule="exact"/>
              <w:ind w:firstLine="720" w:firstLineChars="30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二产产值</w:t>
            </w:r>
          </w:p>
        </w:tc>
        <w:tc>
          <w:tcPr>
            <w:tcW w:w="1151" w:type="dxa"/>
            <w:shd w:val="clear" w:color="auto" w:fill="auto"/>
            <w:noWrap/>
            <w:tcMar>
              <w:top w:w="15" w:type="dxa"/>
              <w:left w:w="15" w:type="dxa"/>
              <w:right w:w="15" w:type="dxa"/>
            </w:tcMar>
            <w:vAlign w:val="center"/>
          </w:tcPr>
          <w:p w14:paraId="630BF1E5">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rPr>
            </w:pPr>
            <w:r>
              <w:rPr>
                <w:rFonts w:hint="eastAsia" w:ascii="Times New Roman" w:hAnsi="Times New Roman" w:cs="Times New Roman"/>
                <w:color w:val="auto"/>
                <w:sz w:val="24"/>
                <w:highlight w:val="none"/>
                <w:lang w:val="en-US" w:eastAsia="zh-CN"/>
              </w:rPr>
              <w:t>万元</w:t>
            </w:r>
          </w:p>
        </w:tc>
        <w:tc>
          <w:tcPr>
            <w:tcW w:w="1234" w:type="dxa"/>
            <w:shd w:val="clear" w:color="auto" w:fill="auto"/>
            <w:vAlign w:val="center"/>
          </w:tcPr>
          <w:p w14:paraId="2C7028CF">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665300</w:t>
            </w:r>
          </w:p>
        </w:tc>
        <w:tc>
          <w:tcPr>
            <w:tcW w:w="1177" w:type="dxa"/>
            <w:shd w:val="clear" w:color="auto" w:fill="auto"/>
            <w:vAlign w:val="center"/>
          </w:tcPr>
          <w:p w14:paraId="403BC1F3">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700000</w:t>
            </w:r>
          </w:p>
        </w:tc>
        <w:tc>
          <w:tcPr>
            <w:tcW w:w="1178" w:type="dxa"/>
            <w:shd w:val="clear" w:color="auto" w:fill="auto"/>
            <w:vAlign w:val="center"/>
          </w:tcPr>
          <w:p w14:paraId="4F8C4BF4">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730000</w:t>
            </w:r>
          </w:p>
        </w:tc>
        <w:tc>
          <w:tcPr>
            <w:tcW w:w="1148" w:type="dxa"/>
            <w:shd w:val="clear" w:color="auto" w:fill="auto"/>
            <w:vAlign w:val="center"/>
          </w:tcPr>
          <w:p w14:paraId="135A83E6">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760000</w:t>
            </w:r>
          </w:p>
        </w:tc>
      </w:tr>
      <w:bookmarkEnd w:id="97"/>
      <w:tr w14:paraId="46F03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47" w:type="dxa"/>
            <w:vMerge w:val="continue"/>
            <w:shd w:val="clear" w:color="auto" w:fill="auto"/>
            <w:noWrap/>
            <w:tcMar>
              <w:top w:w="15" w:type="dxa"/>
              <w:left w:w="15" w:type="dxa"/>
              <w:right w:w="15" w:type="dxa"/>
            </w:tcMar>
            <w:vAlign w:val="center"/>
          </w:tcPr>
          <w:p w14:paraId="232FE034">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bCs/>
                <w:color w:val="auto"/>
                <w:sz w:val="24"/>
                <w:highlight w:val="none"/>
              </w:rPr>
            </w:pPr>
          </w:p>
        </w:tc>
        <w:tc>
          <w:tcPr>
            <w:tcW w:w="2462" w:type="dxa"/>
            <w:shd w:val="clear" w:color="auto" w:fill="auto"/>
            <w:tcMar>
              <w:top w:w="15" w:type="dxa"/>
              <w:left w:w="15" w:type="dxa"/>
              <w:right w:w="15" w:type="dxa"/>
            </w:tcMar>
            <w:vAlign w:val="center"/>
          </w:tcPr>
          <w:p w14:paraId="71D8F785">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主导产业加工转化率</w:t>
            </w:r>
          </w:p>
        </w:tc>
        <w:tc>
          <w:tcPr>
            <w:tcW w:w="1151" w:type="dxa"/>
            <w:shd w:val="clear" w:color="auto" w:fill="auto"/>
            <w:noWrap/>
            <w:tcMar>
              <w:top w:w="15" w:type="dxa"/>
              <w:left w:w="15" w:type="dxa"/>
              <w:right w:w="15" w:type="dxa"/>
            </w:tcMar>
            <w:vAlign w:val="center"/>
          </w:tcPr>
          <w:p w14:paraId="47BA89FB">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w:t>
            </w:r>
          </w:p>
        </w:tc>
        <w:tc>
          <w:tcPr>
            <w:tcW w:w="1234" w:type="dxa"/>
            <w:shd w:val="clear" w:color="auto" w:fill="auto"/>
            <w:vAlign w:val="center"/>
          </w:tcPr>
          <w:p w14:paraId="2445D4FA">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92</w:t>
            </w:r>
          </w:p>
        </w:tc>
        <w:tc>
          <w:tcPr>
            <w:tcW w:w="1177" w:type="dxa"/>
            <w:shd w:val="clear" w:color="auto" w:fill="auto"/>
            <w:vAlign w:val="center"/>
          </w:tcPr>
          <w:p w14:paraId="14E7FC8C">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92.3</w:t>
            </w:r>
          </w:p>
        </w:tc>
        <w:tc>
          <w:tcPr>
            <w:tcW w:w="1178" w:type="dxa"/>
            <w:shd w:val="clear" w:color="auto" w:fill="auto"/>
            <w:vAlign w:val="center"/>
          </w:tcPr>
          <w:p w14:paraId="309EE33B">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92.6</w:t>
            </w:r>
          </w:p>
        </w:tc>
        <w:tc>
          <w:tcPr>
            <w:tcW w:w="1148" w:type="dxa"/>
            <w:shd w:val="clear" w:color="auto" w:fill="auto"/>
            <w:vAlign w:val="center"/>
          </w:tcPr>
          <w:p w14:paraId="46FEEB00">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93</w:t>
            </w:r>
          </w:p>
        </w:tc>
      </w:tr>
      <w:tr w14:paraId="1AC00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47" w:type="dxa"/>
            <w:vMerge w:val="restart"/>
            <w:shd w:val="clear" w:color="auto" w:fill="auto"/>
            <w:noWrap/>
            <w:tcMar>
              <w:top w:w="15" w:type="dxa"/>
              <w:left w:w="15" w:type="dxa"/>
              <w:right w:w="15" w:type="dxa"/>
            </w:tcMar>
            <w:vAlign w:val="center"/>
          </w:tcPr>
          <w:p w14:paraId="15C1A657">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bCs/>
                <w:color w:val="auto"/>
                <w:sz w:val="24"/>
                <w:highlight w:val="none"/>
              </w:rPr>
            </w:pPr>
            <w:r>
              <w:rPr>
                <w:rFonts w:hint="default" w:ascii="Times New Roman" w:hAnsi="Times New Roman" w:eastAsia="仿宋_GB2312" w:cs="Times New Roman"/>
                <w:b/>
                <w:bCs/>
                <w:color w:val="auto"/>
                <w:sz w:val="24"/>
                <w:highlight w:val="none"/>
              </w:rPr>
              <w:t>科技支撑</w:t>
            </w:r>
          </w:p>
        </w:tc>
        <w:tc>
          <w:tcPr>
            <w:tcW w:w="2462" w:type="dxa"/>
            <w:shd w:val="clear" w:color="auto" w:fill="auto"/>
            <w:tcMar>
              <w:top w:w="15" w:type="dxa"/>
              <w:left w:w="15" w:type="dxa"/>
              <w:right w:w="15" w:type="dxa"/>
            </w:tcMar>
            <w:vAlign w:val="center"/>
          </w:tcPr>
          <w:p w14:paraId="40F0595E">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良种覆盖率</w:t>
            </w:r>
          </w:p>
        </w:tc>
        <w:tc>
          <w:tcPr>
            <w:tcW w:w="1151" w:type="dxa"/>
            <w:shd w:val="clear" w:color="auto" w:fill="auto"/>
            <w:noWrap/>
            <w:tcMar>
              <w:top w:w="15" w:type="dxa"/>
              <w:left w:w="15" w:type="dxa"/>
              <w:right w:w="15" w:type="dxa"/>
            </w:tcMar>
            <w:vAlign w:val="center"/>
          </w:tcPr>
          <w:p w14:paraId="39779E9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eastAsia"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w:t>
            </w:r>
          </w:p>
        </w:tc>
        <w:tc>
          <w:tcPr>
            <w:tcW w:w="1234" w:type="dxa"/>
            <w:shd w:val="clear" w:color="auto" w:fill="auto"/>
            <w:vAlign w:val="center"/>
          </w:tcPr>
          <w:p w14:paraId="561B1515">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99</w:t>
            </w:r>
          </w:p>
        </w:tc>
        <w:tc>
          <w:tcPr>
            <w:tcW w:w="1177" w:type="dxa"/>
            <w:shd w:val="clear" w:color="auto" w:fill="auto"/>
            <w:vAlign w:val="center"/>
          </w:tcPr>
          <w:p w14:paraId="5419EE7A">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99.1</w:t>
            </w:r>
          </w:p>
        </w:tc>
        <w:tc>
          <w:tcPr>
            <w:tcW w:w="1178" w:type="dxa"/>
            <w:shd w:val="clear" w:color="auto" w:fill="auto"/>
            <w:vAlign w:val="center"/>
          </w:tcPr>
          <w:p w14:paraId="39E07874">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99.3</w:t>
            </w:r>
          </w:p>
        </w:tc>
        <w:tc>
          <w:tcPr>
            <w:tcW w:w="1148" w:type="dxa"/>
            <w:shd w:val="clear" w:color="auto" w:fill="auto"/>
            <w:vAlign w:val="center"/>
          </w:tcPr>
          <w:p w14:paraId="64CB751B">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99.5</w:t>
            </w:r>
          </w:p>
        </w:tc>
      </w:tr>
      <w:tr w14:paraId="634CA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47" w:type="dxa"/>
            <w:vMerge w:val="continue"/>
            <w:shd w:val="clear" w:color="auto" w:fill="auto"/>
            <w:noWrap/>
            <w:tcMar>
              <w:top w:w="15" w:type="dxa"/>
              <w:left w:w="15" w:type="dxa"/>
              <w:right w:w="15" w:type="dxa"/>
            </w:tcMar>
            <w:vAlign w:val="center"/>
          </w:tcPr>
          <w:p w14:paraId="55ECF14C">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bCs/>
                <w:color w:val="auto"/>
                <w:sz w:val="24"/>
                <w:highlight w:val="none"/>
              </w:rPr>
            </w:pPr>
          </w:p>
        </w:tc>
        <w:tc>
          <w:tcPr>
            <w:tcW w:w="2462" w:type="dxa"/>
            <w:shd w:val="clear" w:color="auto" w:fill="auto"/>
            <w:tcMar>
              <w:top w:w="15" w:type="dxa"/>
              <w:left w:w="15" w:type="dxa"/>
              <w:right w:w="15" w:type="dxa"/>
            </w:tcMar>
            <w:vAlign w:val="center"/>
          </w:tcPr>
          <w:p w14:paraId="37345A41">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农作物耕种收综合机械化率</w:t>
            </w:r>
          </w:p>
        </w:tc>
        <w:tc>
          <w:tcPr>
            <w:tcW w:w="1151" w:type="dxa"/>
            <w:shd w:val="clear" w:color="auto" w:fill="auto"/>
            <w:noWrap/>
            <w:tcMar>
              <w:top w:w="15" w:type="dxa"/>
              <w:left w:w="15" w:type="dxa"/>
              <w:right w:w="15" w:type="dxa"/>
            </w:tcMar>
            <w:vAlign w:val="center"/>
          </w:tcPr>
          <w:p w14:paraId="44FA1C1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eastAsia"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w:t>
            </w:r>
          </w:p>
        </w:tc>
        <w:tc>
          <w:tcPr>
            <w:tcW w:w="1234" w:type="dxa"/>
            <w:shd w:val="clear" w:color="auto" w:fill="auto"/>
            <w:vAlign w:val="center"/>
          </w:tcPr>
          <w:p w14:paraId="00225B61">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75</w:t>
            </w:r>
          </w:p>
        </w:tc>
        <w:tc>
          <w:tcPr>
            <w:tcW w:w="1177" w:type="dxa"/>
            <w:shd w:val="clear" w:color="auto" w:fill="auto"/>
            <w:vAlign w:val="center"/>
          </w:tcPr>
          <w:p w14:paraId="23460A99">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75.2</w:t>
            </w:r>
          </w:p>
        </w:tc>
        <w:tc>
          <w:tcPr>
            <w:tcW w:w="1178" w:type="dxa"/>
            <w:shd w:val="clear" w:color="auto" w:fill="auto"/>
            <w:vAlign w:val="center"/>
          </w:tcPr>
          <w:p w14:paraId="05008D9F">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75.5</w:t>
            </w:r>
          </w:p>
        </w:tc>
        <w:tc>
          <w:tcPr>
            <w:tcW w:w="1148" w:type="dxa"/>
            <w:shd w:val="clear" w:color="auto" w:fill="auto"/>
            <w:vAlign w:val="center"/>
          </w:tcPr>
          <w:p w14:paraId="652EA271">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76</w:t>
            </w:r>
          </w:p>
        </w:tc>
      </w:tr>
      <w:tr w14:paraId="7A72B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47" w:type="dxa"/>
            <w:vMerge w:val="continue"/>
            <w:shd w:val="clear" w:color="auto" w:fill="auto"/>
            <w:noWrap/>
            <w:tcMar>
              <w:top w:w="15" w:type="dxa"/>
              <w:left w:w="15" w:type="dxa"/>
              <w:right w:w="15" w:type="dxa"/>
            </w:tcMar>
            <w:vAlign w:val="center"/>
          </w:tcPr>
          <w:p w14:paraId="3D7543C7">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bCs/>
                <w:color w:val="auto"/>
                <w:sz w:val="24"/>
                <w:highlight w:val="none"/>
              </w:rPr>
            </w:pPr>
          </w:p>
        </w:tc>
        <w:tc>
          <w:tcPr>
            <w:tcW w:w="2462" w:type="dxa"/>
            <w:shd w:val="clear" w:color="auto" w:fill="auto"/>
            <w:tcMar>
              <w:top w:w="15" w:type="dxa"/>
              <w:left w:w="15" w:type="dxa"/>
              <w:right w:w="15" w:type="dxa"/>
            </w:tcMar>
            <w:vAlign w:val="center"/>
          </w:tcPr>
          <w:p w14:paraId="15307C0E">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 xml:space="preserve">新品种新技术研发引进推广经费支出 </w:t>
            </w:r>
          </w:p>
        </w:tc>
        <w:tc>
          <w:tcPr>
            <w:tcW w:w="1151" w:type="dxa"/>
            <w:shd w:val="clear" w:color="auto" w:fill="auto"/>
            <w:noWrap/>
            <w:tcMar>
              <w:top w:w="15" w:type="dxa"/>
              <w:left w:w="15" w:type="dxa"/>
              <w:right w:w="15" w:type="dxa"/>
            </w:tcMar>
            <w:vAlign w:val="center"/>
          </w:tcPr>
          <w:p w14:paraId="2F0E7C0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eastAsia"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万元</w:t>
            </w:r>
          </w:p>
        </w:tc>
        <w:tc>
          <w:tcPr>
            <w:tcW w:w="1234" w:type="dxa"/>
            <w:shd w:val="clear" w:color="auto" w:fill="auto"/>
            <w:vAlign w:val="center"/>
          </w:tcPr>
          <w:p w14:paraId="3D4CA3F4">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2500</w:t>
            </w:r>
          </w:p>
        </w:tc>
        <w:tc>
          <w:tcPr>
            <w:tcW w:w="1177" w:type="dxa"/>
            <w:shd w:val="clear" w:color="auto" w:fill="auto"/>
            <w:vAlign w:val="center"/>
          </w:tcPr>
          <w:p w14:paraId="4F819CEE">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2600</w:t>
            </w:r>
          </w:p>
        </w:tc>
        <w:tc>
          <w:tcPr>
            <w:tcW w:w="1178" w:type="dxa"/>
            <w:shd w:val="clear" w:color="auto" w:fill="auto"/>
            <w:vAlign w:val="center"/>
          </w:tcPr>
          <w:p w14:paraId="58B2F346">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2700</w:t>
            </w:r>
          </w:p>
        </w:tc>
        <w:tc>
          <w:tcPr>
            <w:tcW w:w="1148" w:type="dxa"/>
            <w:shd w:val="clear" w:color="auto" w:fill="auto"/>
            <w:vAlign w:val="center"/>
          </w:tcPr>
          <w:p w14:paraId="5502C9AD">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2800</w:t>
            </w:r>
          </w:p>
        </w:tc>
      </w:tr>
      <w:tr w14:paraId="78396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47" w:type="dxa"/>
            <w:vMerge w:val="continue"/>
            <w:shd w:val="clear" w:color="auto" w:fill="auto"/>
            <w:noWrap/>
            <w:tcMar>
              <w:top w:w="15" w:type="dxa"/>
              <w:left w:w="15" w:type="dxa"/>
              <w:right w:w="15" w:type="dxa"/>
            </w:tcMar>
            <w:vAlign w:val="center"/>
          </w:tcPr>
          <w:p w14:paraId="6819A4D6">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bCs/>
                <w:color w:val="auto"/>
                <w:sz w:val="24"/>
                <w:highlight w:val="none"/>
              </w:rPr>
            </w:pPr>
          </w:p>
        </w:tc>
        <w:tc>
          <w:tcPr>
            <w:tcW w:w="2462" w:type="dxa"/>
            <w:shd w:val="clear" w:color="auto" w:fill="auto"/>
            <w:tcMar>
              <w:top w:w="15" w:type="dxa"/>
              <w:left w:w="15" w:type="dxa"/>
              <w:right w:w="15" w:type="dxa"/>
            </w:tcMar>
            <w:vAlign w:val="center"/>
          </w:tcPr>
          <w:p w14:paraId="7C2E293D">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省级及以上科研单位设立研发平台</w:t>
            </w:r>
          </w:p>
        </w:tc>
        <w:tc>
          <w:tcPr>
            <w:tcW w:w="1151" w:type="dxa"/>
            <w:shd w:val="clear" w:color="auto" w:fill="auto"/>
            <w:noWrap/>
            <w:tcMar>
              <w:top w:w="15" w:type="dxa"/>
              <w:left w:w="15" w:type="dxa"/>
              <w:right w:w="15" w:type="dxa"/>
            </w:tcMar>
            <w:vAlign w:val="center"/>
          </w:tcPr>
          <w:p w14:paraId="7ABC047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个</w:t>
            </w:r>
          </w:p>
        </w:tc>
        <w:tc>
          <w:tcPr>
            <w:tcW w:w="1234" w:type="dxa"/>
            <w:shd w:val="clear" w:color="auto" w:fill="auto"/>
            <w:vAlign w:val="center"/>
          </w:tcPr>
          <w:p w14:paraId="626BF868">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2</w:t>
            </w:r>
          </w:p>
        </w:tc>
        <w:tc>
          <w:tcPr>
            <w:tcW w:w="1177" w:type="dxa"/>
            <w:shd w:val="clear" w:color="auto" w:fill="auto"/>
            <w:vAlign w:val="center"/>
          </w:tcPr>
          <w:p w14:paraId="337B1ADE">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2"/>
                <w:sz w:val="24"/>
                <w:szCs w:val="22"/>
                <w:highlight w:val="none"/>
                <w:lang w:val="en-US" w:eastAsia="zh-CN" w:bidi="ar-SA"/>
              </w:rPr>
            </w:pPr>
            <w:r>
              <w:rPr>
                <w:rFonts w:hint="eastAsia" w:ascii="Times New Roman" w:hAnsi="Times New Roman" w:cs="Times New Roman"/>
                <w:color w:val="auto"/>
                <w:sz w:val="24"/>
                <w:highlight w:val="none"/>
                <w:lang w:val="en-US" w:eastAsia="zh-CN"/>
              </w:rPr>
              <w:t>3</w:t>
            </w:r>
          </w:p>
        </w:tc>
        <w:tc>
          <w:tcPr>
            <w:tcW w:w="1178" w:type="dxa"/>
            <w:shd w:val="clear" w:color="auto" w:fill="auto"/>
            <w:vAlign w:val="center"/>
          </w:tcPr>
          <w:p w14:paraId="5D56252D">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2"/>
                <w:sz w:val="24"/>
                <w:szCs w:val="22"/>
                <w:highlight w:val="none"/>
                <w:lang w:val="en-US" w:eastAsia="zh-CN" w:bidi="ar-SA"/>
              </w:rPr>
            </w:pPr>
            <w:r>
              <w:rPr>
                <w:rFonts w:hint="eastAsia" w:ascii="Times New Roman" w:hAnsi="Times New Roman" w:cs="Times New Roman"/>
                <w:color w:val="auto"/>
                <w:sz w:val="24"/>
                <w:highlight w:val="none"/>
                <w:lang w:val="en-US" w:eastAsia="zh-CN"/>
              </w:rPr>
              <w:t>3</w:t>
            </w:r>
          </w:p>
        </w:tc>
        <w:tc>
          <w:tcPr>
            <w:tcW w:w="1148" w:type="dxa"/>
            <w:shd w:val="clear" w:color="auto" w:fill="auto"/>
            <w:vAlign w:val="center"/>
          </w:tcPr>
          <w:p w14:paraId="01D99B2D">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2"/>
                <w:sz w:val="24"/>
                <w:szCs w:val="22"/>
                <w:highlight w:val="none"/>
                <w:lang w:val="en-US" w:eastAsia="zh-CN" w:bidi="ar-SA"/>
              </w:rPr>
            </w:pPr>
            <w:r>
              <w:rPr>
                <w:rFonts w:hint="eastAsia" w:ascii="Times New Roman" w:hAnsi="Times New Roman" w:cs="Times New Roman"/>
                <w:color w:val="auto"/>
                <w:sz w:val="24"/>
                <w:highlight w:val="none"/>
                <w:lang w:val="en-US" w:eastAsia="zh-CN"/>
              </w:rPr>
              <w:t>4</w:t>
            </w:r>
          </w:p>
        </w:tc>
      </w:tr>
      <w:tr w14:paraId="03FCC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47" w:type="dxa"/>
            <w:vMerge w:val="continue"/>
            <w:shd w:val="clear" w:color="auto" w:fill="auto"/>
            <w:noWrap/>
            <w:tcMar>
              <w:top w:w="15" w:type="dxa"/>
              <w:left w:w="15" w:type="dxa"/>
              <w:right w:w="15" w:type="dxa"/>
            </w:tcMar>
            <w:vAlign w:val="center"/>
          </w:tcPr>
          <w:p w14:paraId="2E9FE7AD">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bCs/>
                <w:color w:val="auto"/>
                <w:sz w:val="24"/>
                <w:highlight w:val="none"/>
              </w:rPr>
            </w:pPr>
          </w:p>
        </w:tc>
        <w:tc>
          <w:tcPr>
            <w:tcW w:w="2462" w:type="dxa"/>
            <w:shd w:val="clear" w:color="auto" w:fill="auto"/>
            <w:tcMar>
              <w:top w:w="15" w:type="dxa"/>
              <w:left w:w="15" w:type="dxa"/>
              <w:right w:w="15" w:type="dxa"/>
            </w:tcMar>
            <w:vAlign w:val="center"/>
          </w:tcPr>
          <w:p w14:paraId="6A003DF0">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专业技术人员数量</w:t>
            </w:r>
          </w:p>
        </w:tc>
        <w:tc>
          <w:tcPr>
            <w:tcW w:w="1151" w:type="dxa"/>
            <w:shd w:val="clear" w:color="auto" w:fill="auto"/>
            <w:noWrap/>
            <w:tcMar>
              <w:top w:w="15" w:type="dxa"/>
              <w:left w:w="15" w:type="dxa"/>
              <w:right w:w="15" w:type="dxa"/>
            </w:tcMar>
            <w:vAlign w:val="center"/>
          </w:tcPr>
          <w:p w14:paraId="09FA3DC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人</w:t>
            </w:r>
          </w:p>
        </w:tc>
        <w:tc>
          <w:tcPr>
            <w:tcW w:w="1234" w:type="dxa"/>
            <w:shd w:val="clear" w:color="auto" w:fill="auto"/>
            <w:vAlign w:val="center"/>
          </w:tcPr>
          <w:p w14:paraId="5AF357F5">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560</w:t>
            </w:r>
          </w:p>
        </w:tc>
        <w:tc>
          <w:tcPr>
            <w:tcW w:w="1177" w:type="dxa"/>
            <w:shd w:val="clear" w:color="auto" w:fill="auto"/>
            <w:vAlign w:val="center"/>
          </w:tcPr>
          <w:p w14:paraId="007C52F6">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600</w:t>
            </w:r>
          </w:p>
        </w:tc>
        <w:tc>
          <w:tcPr>
            <w:tcW w:w="1178" w:type="dxa"/>
            <w:shd w:val="clear" w:color="auto" w:fill="auto"/>
            <w:vAlign w:val="center"/>
          </w:tcPr>
          <w:p w14:paraId="11E2162D">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650</w:t>
            </w:r>
          </w:p>
        </w:tc>
        <w:tc>
          <w:tcPr>
            <w:tcW w:w="1148" w:type="dxa"/>
            <w:shd w:val="clear" w:color="auto" w:fill="auto"/>
            <w:vAlign w:val="center"/>
          </w:tcPr>
          <w:p w14:paraId="6AED1338">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700</w:t>
            </w:r>
          </w:p>
        </w:tc>
      </w:tr>
      <w:tr w14:paraId="28915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47" w:type="dxa"/>
            <w:vMerge w:val="restart"/>
            <w:shd w:val="clear" w:color="auto" w:fill="auto"/>
            <w:noWrap/>
            <w:tcMar>
              <w:top w:w="15" w:type="dxa"/>
              <w:left w:w="15" w:type="dxa"/>
              <w:right w:w="15" w:type="dxa"/>
            </w:tcMar>
            <w:vAlign w:val="center"/>
          </w:tcPr>
          <w:p w14:paraId="38B8D1E7">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bCs/>
                <w:color w:val="auto"/>
                <w:sz w:val="24"/>
                <w:highlight w:val="none"/>
              </w:rPr>
            </w:pPr>
            <w:r>
              <w:rPr>
                <w:rFonts w:hint="default" w:ascii="Times New Roman" w:hAnsi="Times New Roman" w:eastAsia="仿宋_GB2312" w:cs="Times New Roman"/>
                <w:b/>
                <w:bCs/>
                <w:color w:val="auto"/>
                <w:sz w:val="24"/>
                <w:highlight w:val="none"/>
              </w:rPr>
              <w:t>集约经营</w:t>
            </w:r>
          </w:p>
        </w:tc>
        <w:tc>
          <w:tcPr>
            <w:tcW w:w="2462" w:type="dxa"/>
            <w:shd w:val="clear" w:color="auto" w:fill="auto"/>
            <w:tcMar>
              <w:top w:w="15" w:type="dxa"/>
              <w:left w:w="15" w:type="dxa"/>
              <w:right w:w="15" w:type="dxa"/>
            </w:tcMar>
            <w:vAlign w:val="center"/>
          </w:tcPr>
          <w:p w14:paraId="4AF57C30">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土地适度规模经营占比</w:t>
            </w:r>
          </w:p>
        </w:tc>
        <w:tc>
          <w:tcPr>
            <w:tcW w:w="1151" w:type="dxa"/>
            <w:shd w:val="clear" w:color="auto" w:fill="auto"/>
            <w:noWrap/>
            <w:tcMar>
              <w:top w:w="15" w:type="dxa"/>
              <w:left w:w="15" w:type="dxa"/>
              <w:right w:w="15" w:type="dxa"/>
            </w:tcMar>
            <w:vAlign w:val="center"/>
          </w:tcPr>
          <w:p w14:paraId="198F570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w:t>
            </w:r>
          </w:p>
        </w:tc>
        <w:tc>
          <w:tcPr>
            <w:tcW w:w="1234" w:type="dxa"/>
            <w:shd w:val="clear" w:color="auto" w:fill="auto"/>
            <w:vAlign w:val="center"/>
          </w:tcPr>
          <w:p w14:paraId="308F3B94">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85</w:t>
            </w:r>
          </w:p>
        </w:tc>
        <w:tc>
          <w:tcPr>
            <w:tcW w:w="1177" w:type="dxa"/>
            <w:shd w:val="clear" w:color="auto" w:fill="auto"/>
            <w:vAlign w:val="center"/>
          </w:tcPr>
          <w:p w14:paraId="188532A9">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85.2</w:t>
            </w:r>
          </w:p>
        </w:tc>
        <w:tc>
          <w:tcPr>
            <w:tcW w:w="1178" w:type="dxa"/>
            <w:shd w:val="clear" w:color="auto" w:fill="auto"/>
            <w:vAlign w:val="center"/>
          </w:tcPr>
          <w:p w14:paraId="6EED0E7D">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85.3</w:t>
            </w:r>
          </w:p>
        </w:tc>
        <w:tc>
          <w:tcPr>
            <w:tcW w:w="1148" w:type="dxa"/>
            <w:shd w:val="clear" w:color="auto" w:fill="auto"/>
            <w:vAlign w:val="center"/>
          </w:tcPr>
          <w:p w14:paraId="498ADE07">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85.5</w:t>
            </w:r>
          </w:p>
        </w:tc>
      </w:tr>
      <w:tr w14:paraId="17A6F7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47" w:type="dxa"/>
            <w:vMerge w:val="continue"/>
            <w:shd w:val="clear" w:color="auto" w:fill="auto"/>
            <w:noWrap/>
            <w:tcMar>
              <w:top w:w="15" w:type="dxa"/>
              <w:left w:w="15" w:type="dxa"/>
              <w:right w:w="15" w:type="dxa"/>
            </w:tcMar>
            <w:vAlign w:val="center"/>
          </w:tcPr>
          <w:p w14:paraId="76953757">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bCs/>
                <w:color w:val="auto"/>
                <w:sz w:val="24"/>
                <w:highlight w:val="none"/>
              </w:rPr>
            </w:pPr>
          </w:p>
        </w:tc>
        <w:tc>
          <w:tcPr>
            <w:tcW w:w="2462" w:type="dxa"/>
            <w:shd w:val="clear" w:color="auto" w:fill="auto"/>
            <w:tcMar>
              <w:top w:w="15" w:type="dxa"/>
              <w:left w:w="15" w:type="dxa"/>
              <w:right w:w="15" w:type="dxa"/>
            </w:tcMar>
            <w:vAlign w:val="center"/>
          </w:tcPr>
          <w:p w14:paraId="409ABB66">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入园参与主导产业生产经营企业</w:t>
            </w:r>
          </w:p>
        </w:tc>
        <w:tc>
          <w:tcPr>
            <w:tcW w:w="1151" w:type="dxa"/>
            <w:shd w:val="clear" w:color="auto" w:fill="auto"/>
            <w:noWrap/>
            <w:tcMar>
              <w:top w:w="15" w:type="dxa"/>
              <w:left w:w="15" w:type="dxa"/>
              <w:right w:w="15" w:type="dxa"/>
            </w:tcMar>
            <w:vAlign w:val="center"/>
          </w:tcPr>
          <w:p w14:paraId="5CBE5C2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eastAsia"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个</w:t>
            </w:r>
          </w:p>
        </w:tc>
        <w:tc>
          <w:tcPr>
            <w:tcW w:w="1234" w:type="dxa"/>
            <w:shd w:val="clear" w:color="auto" w:fill="auto"/>
            <w:vAlign w:val="center"/>
          </w:tcPr>
          <w:p w14:paraId="0D228112">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450</w:t>
            </w:r>
          </w:p>
        </w:tc>
        <w:tc>
          <w:tcPr>
            <w:tcW w:w="1177" w:type="dxa"/>
            <w:shd w:val="clear" w:color="auto" w:fill="auto"/>
            <w:vAlign w:val="center"/>
          </w:tcPr>
          <w:p w14:paraId="0AFECC1F">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2"/>
                <w:sz w:val="24"/>
                <w:szCs w:val="22"/>
                <w:highlight w:val="none"/>
                <w:lang w:val="en-US" w:eastAsia="zh-CN" w:bidi="ar-SA"/>
              </w:rPr>
            </w:pPr>
            <w:r>
              <w:rPr>
                <w:rFonts w:hint="eastAsia" w:ascii="Times New Roman" w:hAnsi="Times New Roman" w:cs="Times New Roman"/>
                <w:color w:val="auto"/>
                <w:sz w:val="24"/>
                <w:highlight w:val="none"/>
                <w:lang w:val="en-US" w:eastAsia="zh-CN"/>
              </w:rPr>
              <w:t>460</w:t>
            </w:r>
          </w:p>
        </w:tc>
        <w:tc>
          <w:tcPr>
            <w:tcW w:w="1178" w:type="dxa"/>
            <w:shd w:val="clear" w:color="auto" w:fill="auto"/>
            <w:vAlign w:val="center"/>
          </w:tcPr>
          <w:p w14:paraId="7A8F668C">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2"/>
                <w:sz w:val="24"/>
                <w:szCs w:val="22"/>
                <w:highlight w:val="none"/>
                <w:lang w:val="en-US" w:eastAsia="zh-CN" w:bidi="ar-SA"/>
              </w:rPr>
            </w:pPr>
            <w:r>
              <w:rPr>
                <w:rFonts w:hint="eastAsia" w:ascii="Times New Roman" w:hAnsi="Times New Roman" w:cs="Times New Roman"/>
                <w:color w:val="auto"/>
                <w:sz w:val="24"/>
                <w:highlight w:val="none"/>
                <w:lang w:val="en-US" w:eastAsia="zh-CN"/>
              </w:rPr>
              <w:t>470</w:t>
            </w:r>
          </w:p>
        </w:tc>
        <w:tc>
          <w:tcPr>
            <w:tcW w:w="1148" w:type="dxa"/>
            <w:shd w:val="clear" w:color="auto" w:fill="auto"/>
            <w:vAlign w:val="center"/>
          </w:tcPr>
          <w:p w14:paraId="5226AA56">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2"/>
                <w:sz w:val="24"/>
                <w:szCs w:val="22"/>
                <w:highlight w:val="none"/>
                <w:lang w:val="en-US" w:eastAsia="zh-CN" w:bidi="ar-SA"/>
              </w:rPr>
            </w:pPr>
            <w:r>
              <w:rPr>
                <w:rFonts w:hint="eastAsia" w:ascii="Times New Roman" w:hAnsi="Times New Roman" w:cs="Times New Roman"/>
                <w:color w:val="auto"/>
                <w:sz w:val="24"/>
                <w:highlight w:val="none"/>
                <w:lang w:val="en-US" w:eastAsia="zh-CN"/>
              </w:rPr>
              <w:t>480</w:t>
            </w:r>
          </w:p>
        </w:tc>
      </w:tr>
      <w:tr w14:paraId="39BB77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47" w:type="dxa"/>
            <w:vMerge w:val="continue"/>
            <w:shd w:val="clear" w:color="auto" w:fill="auto"/>
            <w:noWrap/>
            <w:tcMar>
              <w:top w:w="15" w:type="dxa"/>
              <w:left w:w="15" w:type="dxa"/>
              <w:right w:w="15" w:type="dxa"/>
            </w:tcMar>
            <w:vAlign w:val="center"/>
          </w:tcPr>
          <w:p w14:paraId="2752328C">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bCs/>
                <w:color w:val="auto"/>
                <w:sz w:val="24"/>
                <w:highlight w:val="none"/>
              </w:rPr>
            </w:pPr>
          </w:p>
        </w:tc>
        <w:tc>
          <w:tcPr>
            <w:tcW w:w="2462" w:type="dxa"/>
            <w:shd w:val="clear" w:color="auto" w:fill="auto"/>
            <w:tcMar>
              <w:top w:w="15" w:type="dxa"/>
              <w:left w:w="15" w:type="dxa"/>
              <w:right w:w="15" w:type="dxa"/>
            </w:tcMar>
            <w:vAlign w:val="center"/>
          </w:tcPr>
          <w:p w14:paraId="7C08D527">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其中：国家级龙头企业</w:t>
            </w:r>
          </w:p>
        </w:tc>
        <w:tc>
          <w:tcPr>
            <w:tcW w:w="1151" w:type="dxa"/>
            <w:shd w:val="clear" w:color="auto" w:fill="auto"/>
            <w:noWrap/>
            <w:tcMar>
              <w:top w:w="15" w:type="dxa"/>
              <w:left w:w="15" w:type="dxa"/>
              <w:right w:w="15" w:type="dxa"/>
            </w:tcMar>
            <w:vAlign w:val="center"/>
          </w:tcPr>
          <w:p w14:paraId="79E7D22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_GB2312" w:cs="Times New Roman"/>
                <w:color w:val="auto"/>
                <w:sz w:val="24"/>
                <w:highlight w:val="none"/>
              </w:rPr>
            </w:pPr>
            <w:r>
              <w:rPr>
                <w:rFonts w:hint="eastAsia" w:ascii="Times New Roman" w:hAnsi="Times New Roman" w:cs="Times New Roman"/>
                <w:color w:val="auto"/>
                <w:sz w:val="24"/>
                <w:highlight w:val="none"/>
                <w:lang w:val="en-US" w:eastAsia="zh-CN"/>
              </w:rPr>
              <w:t>个</w:t>
            </w:r>
          </w:p>
        </w:tc>
        <w:tc>
          <w:tcPr>
            <w:tcW w:w="1234" w:type="dxa"/>
            <w:shd w:val="clear" w:color="auto" w:fill="auto"/>
            <w:vAlign w:val="center"/>
          </w:tcPr>
          <w:p w14:paraId="1F6C7777">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0</w:t>
            </w:r>
          </w:p>
        </w:tc>
        <w:tc>
          <w:tcPr>
            <w:tcW w:w="1177" w:type="dxa"/>
            <w:shd w:val="clear" w:color="auto" w:fill="auto"/>
            <w:vAlign w:val="center"/>
          </w:tcPr>
          <w:p w14:paraId="6B4BEBEB">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2"/>
                <w:sz w:val="24"/>
                <w:szCs w:val="22"/>
                <w:highlight w:val="none"/>
                <w:lang w:val="en-US" w:eastAsia="zh-CN" w:bidi="ar-SA"/>
              </w:rPr>
            </w:pPr>
            <w:r>
              <w:rPr>
                <w:rFonts w:hint="eastAsia" w:ascii="Times New Roman" w:hAnsi="Times New Roman" w:cs="Times New Roman"/>
                <w:color w:val="auto"/>
                <w:sz w:val="24"/>
                <w:highlight w:val="none"/>
                <w:lang w:val="en-US" w:eastAsia="zh-CN"/>
              </w:rPr>
              <w:t>0</w:t>
            </w:r>
          </w:p>
        </w:tc>
        <w:tc>
          <w:tcPr>
            <w:tcW w:w="1178" w:type="dxa"/>
            <w:shd w:val="clear" w:color="auto" w:fill="auto"/>
            <w:vAlign w:val="center"/>
          </w:tcPr>
          <w:p w14:paraId="009D9CA9">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2"/>
                <w:sz w:val="24"/>
                <w:szCs w:val="22"/>
                <w:highlight w:val="none"/>
                <w:lang w:val="en-US" w:eastAsia="zh-CN" w:bidi="ar-SA"/>
              </w:rPr>
            </w:pPr>
            <w:r>
              <w:rPr>
                <w:rFonts w:hint="eastAsia" w:ascii="Times New Roman" w:hAnsi="Times New Roman" w:cs="Times New Roman"/>
                <w:color w:val="auto"/>
                <w:sz w:val="24"/>
                <w:highlight w:val="none"/>
                <w:lang w:val="en-US" w:eastAsia="zh-CN"/>
              </w:rPr>
              <w:t>0</w:t>
            </w:r>
          </w:p>
        </w:tc>
        <w:tc>
          <w:tcPr>
            <w:tcW w:w="1148" w:type="dxa"/>
            <w:shd w:val="clear" w:color="auto" w:fill="auto"/>
            <w:vAlign w:val="center"/>
          </w:tcPr>
          <w:p w14:paraId="1F03C9DE">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2"/>
                <w:sz w:val="24"/>
                <w:szCs w:val="22"/>
                <w:highlight w:val="none"/>
                <w:lang w:val="en-US" w:eastAsia="zh-CN" w:bidi="ar-SA"/>
              </w:rPr>
            </w:pPr>
            <w:r>
              <w:rPr>
                <w:rFonts w:hint="eastAsia" w:ascii="Times New Roman" w:hAnsi="Times New Roman" w:cs="Times New Roman"/>
                <w:color w:val="auto"/>
                <w:sz w:val="24"/>
                <w:highlight w:val="none"/>
                <w:lang w:val="en-US" w:eastAsia="zh-CN"/>
              </w:rPr>
              <w:t>1</w:t>
            </w:r>
          </w:p>
        </w:tc>
      </w:tr>
      <w:tr w14:paraId="6B1C7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47" w:type="dxa"/>
            <w:vMerge w:val="continue"/>
            <w:shd w:val="clear" w:color="auto" w:fill="auto"/>
            <w:noWrap/>
            <w:tcMar>
              <w:top w:w="15" w:type="dxa"/>
              <w:left w:w="15" w:type="dxa"/>
              <w:right w:w="15" w:type="dxa"/>
            </w:tcMar>
            <w:vAlign w:val="center"/>
          </w:tcPr>
          <w:p w14:paraId="1C403D51">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bCs/>
                <w:color w:val="auto"/>
                <w:sz w:val="24"/>
                <w:highlight w:val="none"/>
              </w:rPr>
            </w:pPr>
          </w:p>
        </w:tc>
        <w:tc>
          <w:tcPr>
            <w:tcW w:w="2462" w:type="dxa"/>
            <w:shd w:val="clear" w:color="auto" w:fill="auto"/>
            <w:tcMar>
              <w:top w:w="15" w:type="dxa"/>
              <w:left w:w="15" w:type="dxa"/>
              <w:right w:w="15" w:type="dxa"/>
            </w:tcMar>
            <w:vAlign w:val="center"/>
          </w:tcPr>
          <w:p w14:paraId="468BF402">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省级龙头企业</w:t>
            </w:r>
          </w:p>
        </w:tc>
        <w:tc>
          <w:tcPr>
            <w:tcW w:w="1151" w:type="dxa"/>
            <w:shd w:val="clear" w:color="auto" w:fill="auto"/>
            <w:noWrap/>
            <w:tcMar>
              <w:top w:w="15" w:type="dxa"/>
              <w:left w:w="15" w:type="dxa"/>
              <w:right w:w="15" w:type="dxa"/>
            </w:tcMar>
            <w:vAlign w:val="center"/>
          </w:tcPr>
          <w:p w14:paraId="0D090A3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_GB2312" w:cs="Times New Roman"/>
                <w:color w:val="auto"/>
                <w:sz w:val="24"/>
                <w:highlight w:val="none"/>
              </w:rPr>
            </w:pPr>
            <w:r>
              <w:rPr>
                <w:rFonts w:hint="eastAsia" w:ascii="Times New Roman" w:hAnsi="Times New Roman" w:cs="Times New Roman"/>
                <w:color w:val="auto"/>
                <w:sz w:val="24"/>
                <w:highlight w:val="none"/>
                <w:lang w:val="en-US" w:eastAsia="zh-CN"/>
              </w:rPr>
              <w:t>个</w:t>
            </w:r>
          </w:p>
        </w:tc>
        <w:tc>
          <w:tcPr>
            <w:tcW w:w="1234" w:type="dxa"/>
            <w:shd w:val="clear" w:color="auto" w:fill="auto"/>
            <w:vAlign w:val="center"/>
          </w:tcPr>
          <w:p w14:paraId="416F3B74">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8</w:t>
            </w:r>
          </w:p>
        </w:tc>
        <w:tc>
          <w:tcPr>
            <w:tcW w:w="1177" w:type="dxa"/>
            <w:shd w:val="clear" w:color="auto" w:fill="auto"/>
            <w:vAlign w:val="center"/>
          </w:tcPr>
          <w:p w14:paraId="52293555">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2"/>
                <w:sz w:val="24"/>
                <w:szCs w:val="22"/>
                <w:highlight w:val="none"/>
                <w:lang w:val="en-US" w:eastAsia="zh-CN" w:bidi="ar-SA"/>
              </w:rPr>
            </w:pPr>
            <w:r>
              <w:rPr>
                <w:rFonts w:hint="eastAsia" w:ascii="Times New Roman" w:hAnsi="Times New Roman" w:cs="Times New Roman"/>
                <w:color w:val="auto"/>
                <w:sz w:val="24"/>
                <w:highlight w:val="none"/>
                <w:lang w:val="en-US" w:eastAsia="zh-CN"/>
              </w:rPr>
              <w:t>8</w:t>
            </w:r>
          </w:p>
        </w:tc>
        <w:tc>
          <w:tcPr>
            <w:tcW w:w="1178" w:type="dxa"/>
            <w:shd w:val="clear" w:color="auto" w:fill="auto"/>
            <w:vAlign w:val="center"/>
          </w:tcPr>
          <w:p w14:paraId="55A0B6B9">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2"/>
                <w:sz w:val="24"/>
                <w:szCs w:val="22"/>
                <w:highlight w:val="none"/>
                <w:lang w:val="en-US" w:eastAsia="zh-CN" w:bidi="ar-SA"/>
              </w:rPr>
            </w:pPr>
            <w:r>
              <w:rPr>
                <w:rFonts w:hint="eastAsia" w:ascii="Times New Roman" w:hAnsi="Times New Roman" w:cs="Times New Roman"/>
                <w:color w:val="auto"/>
                <w:sz w:val="24"/>
                <w:highlight w:val="none"/>
                <w:lang w:val="en-US" w:eastAsia="zh-CN"/>
              </w:rPr>
              <w:t>9</w:t>
            </w:r>
          </w:p>
        </w:tc>
        <w:tc>
          <w:tcPr>
            <w:tcW w:w="1148" w:type="dxa"/>
            <w:shd w:val="clear" w:color="auto" w:fill="auto"/>
            <w:vAlign w:val="center"/>
          </w:tcPr>
          <w:p w14:paraId="6823B656">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2"/>
                <w:sz w:val="24"/>
                <w:szCs w:val="22"/>
                <w:highlight w:val="none"/>
                <w:lang w:val="en-US" w:eastAsia="zh-CN" w:bidi="ar-SA"/>
              </w:rPr>
            </w:pPr>
            <w:r>
              <w:rPr>
                <w:rFonts w:hint="eastAsia" w:ascii="Times New Roman" w:hAnsi="Times New Roman" w:cs="Times New Roman"/>
                <w:color w:val="auto"/>
                <w:sz w:val="24"/>
                <w:highlight w:val="none"/>
                <w:lang w:val="en-US" w:eastAsia="zh-CN"/>
              </w:rPr>
              <w:t>10</w:t>
            </w:r>
          </w:p>
        </w:tc>
      </w:tr>
      <w:tr w14:paraId="2EFE0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47" w:type="dxa"/>
            <w:vMerge w:val="continue"/>
            <w:shd w:val="clear" w:color="auto" w:fill="auto"/>
            <w:noWrap/>
            <w:tcMar>
              <w:top w:w="15" w:type="dxa"/>
              <w:left w:w="15" w:type="dxa"/>
              <w:right w:w="15" w:type="dxa"/>
            </w:tcMar>
            <w:vAlign w:val="center"/>
          </w:tcPr>
          <w:p w14:paraId="1A6BBF90">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bCs/>
                <w:color w:val="auto"/>
                <w:sz w:val="24"/>
                <w:highlight w:val="none"/>
              </w:rPr>
            </w:pPr>
          </w:p>
        </w:tc>
        <w:tc>
          <w:tcPr>
            <w:tcW w:w="2462" w:type="dxa"/>
            <w:shd w:val="clear" w:color="auto" w:fill="auto"/>
            <w:tcMar>
              <w:top w:w="15" w:type="dxa"/>
              <w:left w:w="15" w:type="dxa"/>
              <w:right w:w="15" w:type="dxa"/>
            </w:tcMar>
            <w:vAlign w:val="center"/>
          </w:tcPr>
          <w:p w14:paraId="5A96ACF6">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从事主导产业生产经营合作社</w:t>
            </w:r>
          </w:p>
        </w:tc>
        <w:tc>
          <w:tcPr>
            <w:tcW w:w="1151" w:type="dxa"/>
            <w:shd w:val="clear" w:color="auto" w:fill="auto"/>
            <w:noWrap/>
            <w:tcMar>
              <w:top w:w="15" w:type="dxa"/>
              <w:left w:w="15" w:type="dxa"/>
              <w:right w:w="15" w:type="dxa"/>
            </w:tcMar>
            <w:vAlign w:val="center"/>
          </w:tcPr>
          <w:p w14:paraId="6FFC82A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_GB2312" w:cs="Times New Roman"/>
                <w:color w:val="auto"/>
                <w:sz w:val="24"/>
                <w:highlight w:val="none"/>
              </w:rPr>
            </w:pPr>
            <w:r>
              <w:rPr>
                <w:rFonts w:hint="eastAsia" w:ascii="Times New Roman" w:hAnsi="Times New Roman" w:cs="Times New Roman"/>
                <w:color w:val="auto"/>
                <w:sz w:val="24"/>
                <w:highlight w:val="none"/>
                <w:lang w:val="en-US" w:eastAsia="zh-CN"/>
              </w:rPr>
              <w:t>个</w:t>
            </w:r>
          </w:p>
        </w:tc>
        <w:tc>
          <w:tcPr>
            <w:tcW w:w="1234" w:type="dxa"/>
            <w:shd w:val="clear" w:color="auto" w:fill="auto"/>
            <w:vAlign w:val="center"/>
          </w:tcPr>
          <w:p w14:paraId="604918A7">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195</w:t>
            </w:r>
          </w:p>
        </w:tc>
        <w:tc>
          <w:tcPr>
            <w:tcW w:w="1177" w:type="dxa"/>
            <w:shd w:val="clear" w:color="auto" w:fill="auto"/>
            <w:vAlign w:val="center"/>
          </w:tcPr>
          <w:p w14:paraId="4206CFD7">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2"/>
                <w:sz w:val="24"/>
                <w:szCs w:val="22"/>
                <w:highlight w:val="none"/>
                <w:lang w:val="en-US" w:eastAsia="zh-CN" w:bidi="ar-SA"/>
              </w:rPr>
            </w:pPr>
            <w:r>
              <w:rPr>
                <w:rFonts w:hint="eastAsia" w:ascii="Times New Roman" w:hAnsi="Times New Roman" w:cs="Times New Roman"/>
                <w:color w:val="auto"/>
                <w:sz w:val="24"/>
                <w:highlight w:val="none"/>
                <w:lang w:val="en-US" w:eastAsia="zh-CN"/>
              </w:rPr>
              <w:t>200</w:t>
            </w:r>
          </w:p>
        </w:tc>
        <w:tc>
          <w:tcPr>
            <w:tcW w:w="1178" w:type="dxa"/>
            <w:shd w:val="clear" w:color="auto" w:fill="auto"/>
            <w:vAlign w:val="center"/>
          </w:tcPr>
          <w:p w14:paraId="4C7B5F38">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2"/>
                <w:sz w:val="24"/>
                <w:szCs w:val="22"/>
                <w:highlight w:val="none"/>
                <w:lang w:val="en-US" w:eastAsia="zh-CN" w:bidi="ar-SA"/>
              </w:rPr>
            </w:pPr>
            <w:r>
              <w:rPr>
                <w:rFonts w:hint="eastAsia" w:ascii="Times New Roman" w:hAnsi="Times New Roman" w:cs="Times New Roman"/>
                <w:color w:val="auto"/>
                <w:sz w:val="24"/>
                <w:highlight w:val="none"/>
                <w:lang w:val="en-US" w:eastAsia="zh-CN"/>
              </w:rPr>
              <w:t>210</w:t>
            </w:r>
          </w:p>
        </w:tc>
        <w:tc>
          <w:tcPr>
            <w:tcW w:w="1148" w:type="dxa"/>
            <w:shd w:val="clear" w:color="auto" w:fill="auto"/>
            <w:vAlign w:val="center"/>
          </w:tcPr>
          <w:p w14:paraId="5BEAA076">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2"/>
                <w:sz w:val="24"/>
                <w:szCs w:val="22"/>
                <w:highlight w:val="none"/>
                <w:lang w:val="en-US" w:eastAsia="zh-CN" w:bidi="ar-SA"/>
              </w:rPr>
            </w:pPr>
            <w:r>
              <w:rPr>
                <w:rFonts w:hint="eastAsia" w:ascii="Times New Roman" w:hAnsi="Times New Roman" w:cs="Times New Roman"/>
                <w:color w:val="auto"/>
                <w:sz w:val="24"/>
                <w:highlight w:val="none"/>
                <w:lang w:val="en-US" w:eastAsia="zh-CN"/>
              </w:rPr>
              <w:t>220</w:t>
            </w:r>
          </w:p>
        </w:tc>
      </w:tr>
      <w:tr w14:paraId="6B4C4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47" w:type="dxa"/>
            <w:vMerge w:val="continue"/>
            <w:shd w:val="clear" w:color="auto" w:fill="auto"/>
            <w:noWrap/>
            <w:tcMar>
              <w:top w:w="15" w:type="dxa"/>
              <w:left w:w="15" w:type="dxa"/>
              <w:right w:w="15" w:type="dxa"/>
            </w:tcMar>
            <w:vAlign w:val="center"/>
          </w:tcPr>
          <w:p w14:paraId="661C8A82">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bCs/>
                <w:color w:val="auto"/>
                <w:sz w:val="24"/>
                <w:highlight w:val="none"/>
              </w:rPr>
            </w:pPr>
          </w:p>
        </w:tc>
        <w:tc>
          <w:tcPr>
            <w:tcW w:w="2462" w:type="dxa"/>
            <w:shd w:val="clear" w:color="auto" w:fill="auto"/>
            <w:tcMar>
              <w:top w:w="15" w:type="dxa"/>
              <w:left w:w="15" w:type="dxa"/>
              <w:right w:w="15" w:type="dxa"/>
            </w:tcMar>
            <w:vAlign w:val="center"/>
          </w:tcPr>
          <w:p w14:paraId="41945F0D">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从事主导产业生产经营家庭农场</w:t>
            </w:r>
          </w:p>
        </w:tc>
        <w:tc>
          <w:tcPr>
            <w:tcW w:w="1151" w:type="dxa"/>
            <w:shd w:val="clear" w:color="auto" w:fill="auto"/>
            <w:noWrap/>
            <w:tcMar>
              <w:top w:w="15" w:type="dxa"/>
              <w:left w:w="15" w:type="dxa"/>
              <w:right w:w="15" w:type="dxa"/>
            </w:tcMar>
            <w:vAlign w:val="center"/>
          </w:tcPr>
          <w:p w14:paraId="6B8F2CF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_GB2312" w:cs="Times New Roman"/>
                <w:color w:val="auto"/>
                <w:sz w:val="24"/>
                <w:highlight w:val="none"/>
              </w:rPr>
            </w:pPr>
            <w:r>
              <w:rPr>
                <w:rFonts w:hint="eastAsia" w:ascii="Times New Roman" w:hAnsi="Times New Roman" w:cs="Times New Roman"/>
                <w:color w:val="auto"/>
                <w:sz w:val="24"/>
                <w:highlight w:val="none"/>
                <w:lang w:val="en-US" w:eastAsia="zh-CN"/>
              </w:rPr>
              <w:t>个</w:t>
            </w:r>
          </w:p>
        </w:tc>
        <w:tc>
          <w:tcPr>
            <w:tcW w:w="1234" w:type="dxa"/>
            <w:shd w:val="clear" w:color="auto" w:fill="auto"/>
            <w:vAlign w:val="center"/>
          </w:tcPr>
          <w:p w14:paraId="35BD6527">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60</w:t>
            </w:r>
          </w:p>
        </w:tc>
        <w:tc>
          <w:tcPr>
            <w:tcW w:w="1177" w:type="dxa"/>
            <w:shd w:val="clear" w:color="auto" w:fill="auto"/>
            <w:vAlign w:val="center"/>
          </w:tcPr>
          <w:p w14:paraId="5DB3635F">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2"/>
                <w:sz w:val="24"/>
                <w:szCs w:val="22"/>
                <w:highlight w:val="none"/>
                <w:lang w:val="en-US" w:eastAsia="zh-CN" w:bidi="ar-SA"/>
              </w:rPr>
            </w:pPr>
            <w:r>
              <w:rPr>
                <w:rFonts w:hint="eastAsia" w:ascii="Times New Roman" w:hAnsi="Times New Roman" w:cs="Times New Roman"/>
                <w:color w:val="auto"/>
                <w:sz w:val="24"/>
                <w:highlight w:val="none"/>
                <w:lang w:val="en-US" w:eastAsia="zh-CN"/>
              </w:rPr>
              <w:t>65</w:t>
            </w:r>
          </w:p>
        </w:tc>
        <w:tc>
          <w:tcPr>
            <w:tcW w:w="1178" w:type="dxa"/>
            <w:shd w:val="clear" w:color="auto" w:fill="auto"/>
            <w:vAlign w:val="center"/>
          </w:tcPr>
          <w:p w14:paraId="2C026E5B">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2"/>
                <w:sz w:val="24"/>
                <w:szCs w:val="22"/>
                <w:highlight w:val="none"/>
                <w:lang w:val="en-US" w:eastAsia="zh-CN" w:bidi="ar-SA"/>
              </w:rPr>
            </w:pPr>
            <w:r>
              <w:rPr>
                <w:rFonts w:hint="eastAsia" w:ascii="Times New Roman" w:hAnsi="Times New Roman" w:cs="Times New Roman"/>
                <w:color w:val="auto"/>
                <w:sz w:val="24"/>
                <w:highlight w:val="none"/>
                <w:lang w:val="en-US" w:eastAsia="zh-CN"/>
              </w:rPr>
              <w:t>70</w:t>
            </w:r>
          </w:p>
        </w:tc>
        <w:tc>
          <w:tcPr>
            <w:tcW w:w="1148" w:type="dxa"/>
            <w:shd w:val="clear" w:color="auto" w:fill="auto"/>
            <w:vAlign w:val="center"/>
          </w:tcPr>
          <w:p w14:paraId="0F708AF4">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2"/>
                <w:sz w:val="24"/>
                <w:szCs w:val="22"/>
                <w:highlight w:val="none"/>
                <w:lang w:val="en-US" w:eastAsia="zh-CN" w:bidi="ar-SA"/>
              </w:rPr>
            </w:pPr>
            <w:r>
              <w:rPr>
                <w:rFonts w:hint="eastAsia" w:ascii="Times New Roman" w:hAnsi="Times New Roman" w:cs="Times New Roman"/>
                <w:color w:val="auto"/>
                <w:sz w:val="24"/>
                <w:highlight w:val="none"/>
                <w:lang w:val="en-US" w:eastAsia="zh-CN"/>
              </w:rPr>
              <w:t>75</w:t>
            </w:r>
          </w:p>
        </w:tc>
      </w:tr>
      <w:tr w14:paraId="305862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47" w:type="dxa"/>
            <w:vMerge w:val="restart"/>
            <w:shd w:val="clear" w:color="auto" w:fill="auto"/>
            <w:noWrap/>
            <w:tcMar>
              <w:top w:w="15" w:type="dxa"/>
              <w:left w:w="15" w:type="dxa"/>
              <w:right w:w="15" w:type="dxa"/>
            </w:tcMar>
            <w:vAlign w:val="center"/>
          </w:tcPr>
          <w:p w14:paraId="467ED5AF">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bCs/>
                <w:color w:val="auto"/>
                <w:sz w:val="24"/>
                <w:highlight w:val="none"/>
              </w:rPr>
            </w:pPr>
            <w:r>
              <w:rPr>
                <w:rFonts w:hint="default" w:ascii="Times New Roman" w:hAnsi="Times New Roman" w:eastAsia="仿宋_GB2312" w:cs="Times New Roman"/>
                <w:b/>
                <w:bCs/>
                <w:color w:val="auto"/>
                <w:sz w:val="24"/>
                <w:highlight w:val="none"/>
              </w:rPr>
              <w:t>绿色发展</w:t>
            </w:r>
          </w:p>
        </w:tc>
        <w:tc>
          <w:tcPr>
            <w:tcW w:w="2462" w:type="dxa"/>
            <w:shd w:val="clear" w:color="auto" w:fill="auto"/>
            <w:tcMar>
              <w:top w:w="15" w:type="dxa"/>
              <w:left w:w="15" w:type="dxa"/>
              <w:right w:w="15" w:type="dxa"/>
            </w:tcMar>
            <w:vAlign w:val="center"/>
          </w:tcPr>
          <w:p w14:paraId="77C659E3">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eastAsia"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绿色食品和有机农产品认证面积</w:t>
            </w:r>
          </w:p>
        </w:tc>
        <w:tc>
          <w:tcPr>
            <w:tcW w:w="1151" w:type="dxa"/>
            <w:shd w:val="clear" w:color="auto" w:fill="auto"/>
            <w:noWrap/>
            <w:tcMar>
              <w:top w:w="15" w:type="dxa"/>
              <w:left w:w="15" w:type="dxa"/>
              <w:right w:w="15" w:type="dxa"/>
            </w:tcMar>
            <w:vAlign w:val="center"/>
          </w:tcPr>
          <w:p w14:paraId="79BAD25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eastAsia"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亩</w:t>
            </w:r>
          </w:p>
        </w:tc>
        <w:tc>
          <w:tcPr>
            <w:tcW w:w="1234" w:type="dxa"/>
            <w:shd w:val="clear" w:color="auto" w:fill="auto"/>
            <w:vAlign w:val="center"/>
          </w:tcPr>
          <w:p w14:paraId="43F4B3F8">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8000</w:t>
            </w:r>
          </w:p>
        </w:tc>
        <w:tc>
          <w:tcPr>
            <w:tcW w:w="1177" w:type="dxa"/>
            <w:shd w:val="clear" w:color="auto" w:fill="auto"/>
            <w:vAlign w:val="center"/>
          </w:tcPr>
          <w:p w14:paraId="26D621AE">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8100</w:t>
            </w:r>
          </w:p>
        </w:tc>
        <w:tc>
          <w:tcPr>
            <w:tcW w:w="1178" w:type="dxa"/>
            <w:shd w:val="clear" w:color="auto" w:fill="auto"/>
            <w:vAlign w:val="center"/>
          </w:tcPr>
          <w:p w14:paraId="6F9FEF5B">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8200</w:t>
            </w:r>
          </w:p>
        </w:tc>
        <w:tc>
          <w:tcPr>
            <w:tcW w:w="1148" w:type="dxa"/>
            <w:shd w:val="clear" w:color="auto" w:fill="auto"/>
            <w:vAlign w:val="center"/>
          </w:tcPr>
          <w:p w14:paraId="4589D06D">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8300</w:t>
            </w:r>
          </w:p>
        </w:tc>
      </w:tr>
      <w:tr w14:paraId="01B4A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47" w:type="dxa"/>
            <w:vMerge w:val="continue"/>
            <w:shd w:val="clear" w:color="auto" w:fill="auto"/>
            <w:noWrap/>
            <w:tcMar>
              <w:top w:w="15" w:type="dxa"/>
              <w:left w:w="15" w:type="dxa"/>
              <w:right w:w="15" w:type="dxa"/>
            </w:tcMar>
            <w:vAlign w:val="center"/>
          </w:tcPr>
          <w:p w14:paraId="18A380B6">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bCs/>
                <w:color w:val="auto"/>
                <w:sz w:val="24"/>
                <w:highlight w:val="none"/>
              </w:rPr>
            </w:pPr>
          </w:p>
        </w:tc>
        <w:tc>
          <w:tcPr>
            <w:tcW w:w="2462" w:type="dxa"/>
            <w:shd w:val="clear" w:color="auto" w:fill="auto"/>
            <w:tcMar>
              <w:top w:w="15" w:type="dxa"/>
              <w:left w:w="15" w:type="dxa"/>
              <w:right w:w="15" w:type="dxa"/>
            </w:tcMar>
            <w:vAlign w:val="center"/>
          </w:tcPr>
          <w:p w14:paraId="7E617165">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绿色食品和有机农产品认证个数</w:t>
            </w:r>
          </w:p>
        </w:tc>
        <w:tc>
          <w:tcPr>
            <w:tcW w:w="1151" w:type="dxa"/>
            <w:shd w:val="clear" w:color="auto" w:fill="auto"/>
            <w:noWrap/>
            <w:tcMar>
              <w:top w:w="15" w:type="dxa"/>
              <w:left w:w="15" w:type="dxa"/>
              <w:right w:w="15" w:type="dxa"/>
            </w:tcMar>
            <w:vAlign w:val="center"/>
          </w:tcPr>
          <w:p w14:paraId="14F920B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eastAsia"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个</w:t>
            </w:r>
          </w:p>
        </w:tc>
        <w:tc>
          <w:tcPr>
            <w:tcW w:w="1234" w:type="dxa"/>
            <w:shd w:val="clear" w:color="auto" w:fill="auto"/>
            <w:vAlign w:val="center"/>
          </w:tcPr>
          <w:p w14:paraId="5D9386F1">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3</w:t>
            </w:r>
          </w:p>
        </w:tc>
        <w:tc>
          <w:tcPr>
            <w:tcW w:w="1177" w:type="dxa"/>
            <w:shd w:val="clear" w:color="auto" w:fill="auto"/>
            <w:vAlign w:val="center"/>
          </w:tcPr>
          <w:p w14:paraId="310FE2B6">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3</w:t>
            </w:r>
          </w:p>
        </w:tc>
        <w:tc>
          <w:tcPr>
            <w:tcW w:w="1178" w:type="dxa"/>
            <w:shd w:val="clear" w:color="auto" w:fill="auto"/>
            <w:vAlign w:val="center"/>
          </w:tcPr>
          <w:p w14:paraId="05FA2E17">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4</w:t>
            </w:r>
          </w:p>
        </w:tc>
        <w:tc>
          <w:tcPr>
            <w:tcW w:w="1148" w:type="dxa"/>
            <w:shd w:val="clear" w:color="auto" w:fill="auto"/>
            <w:vAlign w:val="center"/>
          </w:tcPr>
          <w:p w14:paraId="763C4CE4">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5</w:t>
            </w:r>
          </w:p>
        </w:tc>
      </w:tr>
      <w:tr w14:paraId="42E758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47" w:type="dxa"/>
            <w:vMerge w:val="continue"/>
            <w:shd w:val="clear" w:color="auto" w:fill="auto"/>
            <w:noWrap/>
            <w:tcMar>
              <w:top w:w="15" w:type="dxa"/>
              <w:left w:w="15" w:type="dxa"/>
              <w:right w:w="15" w:type="dxa"/>
            </w:tcMar>
            <w:vAlign w:val="center"/>
          </w:tcPr>
          <w:p w14:paraId="1FDF5B56">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bCs/>
                <w:color w:val="auto"/>
                <w:sz w:val="24"/>
                <w:highlight w:val="none"/>
              </w:rPr>
            </w:pPr>
          </w:p>
        </w:tc>
        <w:tc>
          <w:tcPr>
            <w:tcW w:w="2462" w:type="dxa"/>
            <w:shd w:val="clear" w:color="auto" w:fill="auto"/>
            <w:tcMar>
              <w:top w:w="15" w:type="dxa"/>
              <w:left w:w="15" w:type="dxa"/>
              <w:right w:w="15" w:type="dxa"/>
            </w:tcMar>
            <w:vAlign w:val="center"/>
          </w:tcPr>
          <w:p w14:paraId="46883152">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畜禽粪便（或秸秆）综合处理率</w:t>
            </w:r>
          </w:p>
        </w:tc>
        <w:tc>
          <w:tcPr>
            <w:tcW w:w="1151" w:type="dxa"/>
            <w:shd w:val="clear" w:color="auto" w:fill="auto"/>
            <w:noWrap/>
            <w:tcMar>
              <w:top w:w="15" w:type="dxa"/>
              <w:left w:w="15" w:type="dxa"/>
              <w:right w:w="15" w:type="dxa"/>
            </w:tcMar>
            <w:vAlign w:val="center"/>
          </w:tcPr>
          <w:p w14:paraId="2D53982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eastAsia"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w:t>
            </w:r>
          </w:p>
        </w:tc>
        <w:tc>
          <w:tcPr>
            <w:tcW w:w="1234" w:type="dxa"/>
            <w:shd w:val="clear" w:color="auto" w:fill="auto"/>
            <w:vAlign w:val="center"/>
          </w:tcPr>
          <w:p w14:paraId="73D50AC3">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90.76</w:t>
            </w:r>
          </w:p>
        </w:tc>
        <w:tc>
          <w:tcPr>
            <w:tcW w:w="1177" w:type="dxa"/>
            <w:shd w:val="clear" w:color="auto" w:fill="auto"/>
            <w:vAlign w:val="center"/>
          </w:tcPr>
          <w:p w14:paraId="56738518">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91</w:t>
            </w:r>
          </w:p>
        </w:tc>
        <w:tc>
          <w:tcPr>
            <w:tcW w:w="1178" w:type="dxa"/>
            <w:shd w:val="clear" w:color="auto" w:fill="auto"/>
            <w:vAlign w:val="center"/>
          </w:tcPr>
          <w:p w14:paraId="546C4779">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91.5</w:t>
            </w:r>
          </w:p>
        </w:tc>
        <w:tc>
          <w:tcPr>
            <w:tcW w:w="1148" w:type="dxa"/>
            <w:shd w:val="clear" w:color="auto" w:fill="auto"/>
            <w:vAlign w:val="center"/>
          </w:tcPr>
          <w:p w14:paraId="1B1EBED3">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92</w:t>
            </w:r>
          </w:p>
        </w:tc>
      </w:tr>
      <w:tr w14:paraId="5BFD9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47" w:type="dxa"/>
            <w:vMerge w:val="continue"/>
            <w:shd w:val="clear" w:color="auto" w:fill="auto"/>
            <w:noWrap/>
            <w:tcMar>
              <w:top w:w="15" w:type="dxa"/>
              <w:left w:w="15" w:type="dxa"/>
              <w:right w:w="15" w:type="dxa"/>
            </w:tcMar>
            <w:vAlign w:val="center"/>
          </w:tcPr>
          <w:p w14:paraId="64CC628F">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bCs/>
                <w:color w:val="auto"/>
                <w:sz w:val="24"/>
                <w:highlight w:val="none"/>
              </w:rPr>
            </w:pPr>
          </w:p>
        </w:tc>
        <w:tc>
          <w:tcPr>
            <w:tcW w:w="2462" w:type="dxa"/>
            <w:shd w:val="clear" w:color="auto" w:fill="auto"/>
            <w:tcMar>
              <w:top w:w="15" w:type="dxa"/>
              <w:left w:w="15" w:type="dxa"/>
              <w:right w:w="15" w:type="dxa"/>
            </w:tcMar>
            <w:vAlign w:val="center"/>
          </w:tcPr>
          <w:p w14:paraId="666CD48F">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园内农产品质量安全追溯管理的比例</w:t>
            </w:r>
          </w:p>
        </w:tc>
        <w:tc>
          <w:tcPr>
            <w:tcW w:w="1151" w:type="dxa"/>
            <w:shd w:val="clear" w:color="auto" w:fill="auto"/>
            <w:noWrap/>
            <w:tcMar>
              <w:top w:w="15" w:type="dxa"/>
              <w:left w:w="15" w:type="dxa"/>
              <w:right w:w="15" w:type="dxa"/>
            </w:tcMar>
            <w:vAlign w:val="center"/>
          </w:tcPr>
          <w:p w14:paraId="5C95475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_GB2312" w:cs="Times New Roman"/>
                <w:color w:val="auto"/>
                <w:sz w:val="24"/>
                <w:highlight w:val="none"/>
              </w:rPr>
            </w:pPr>
            <w:r>
              <w:rPr>
                <w:rFonts w:hint="eastAsia" w:ascii="Times New Roman" w:hAnsi="Times New Roman" w:cs="Times New Roman"/>
                <w:color w:val="auto"/>
                <w:sz w:val="24"/>
                <w:highlight w:val="none"/>
                <w:lang w:val="en-US" w:eastAsia="zh-CN"/>
              </w:rPr>
              <w:t>%</w:t>
            </w:r>
          </w:p>
        </w:tc>
        <w:tc>
          <w:tcPr>
            <w:tcW w:w="1234" w:type="dxa"/>
            <w:shd w:val="clear" w:color="auto" w:fill="auto"/>
            <w:vAlign w:val="center"/>
          </w:tcPr>
          <w:p w14:paraId="626C0CBB">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100</w:t>
            </w:r>
          </w:p>
        </w:tc>
        <w:tc>
          <w:tcPr>
            <w:tcW w:w="1177" w:type="dxa"/>
            <w:shd w:val="clear" w:color="auto" w:fill="auto"/>
            <w:vAlign w:val="center"/>
          </w:tcPr>
          <w:p w14:paraId="4925E873">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100</w:t>
            </w:r>
          </w:p>
        </w:tc>
        <w:tc>
          <w:tcPr>
            <w:tcW w:w="1178" w:type="dxa"/>
            <w:shd w:val="clear" w:color="auto" w:fill="auto"/>
            <w:vAlign w:val="center"/>
          </w:tcPr>
          <w:p w14:paraId="5C00C16C">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100</w:t>
            </w:r>
          </w:p>
        </w:tc>
        <w:tc>
          <w:tcPr>
            <w:tcW w:w="1148" w:type="dxa"/>
            <w:shd w:val="clear" w:color="auto" w:fill="auto"/>
            <w:vAlign w:val="center"/>
          </w:tcPr>
          <w:p w14:paraId="57E8F392">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100</w:t>
            </w:r>
          </w:p>
        </w:tc>
      </w:tr>
      <w:tr w14:paraId="68157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47" w:type="dxa"/>
            <w:vMerge w:val="restart"/>
            <w:shd w:val="clear" w:color="auto" w:fill="auto"/>
            <w:noWrap/>
            <w:tcMar>
              <w:top w:w="15" w:type="dxa"/>
              <w:left w:w="15" w:type="dxa"/>
              <w:right w:w="15" w:type="dxa"/>
            </w:tcMar>
            <w:vAlign w:val="center"/>
          </w:tcPr>
          <w:p w14:paraId="733ACC2A">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带动农民</w:t>
            </w:r>
          </w:p>
        </w:tc>
        <w:tc>
          <w:tcPr>
            <w:tcW w:w="2462" w:type="dxa"/>
            <w:shd w:val="clear" w:color="auto" w:fill="auto"/>
            <w:tcMar>
              <w:top w:w="15" w:type="dxa"/>
              <w:left w:w="15" w:type="dxa"/>
              <w:right w:w="15" w:type="dxa"/>
            </w:tcMar>
            <w:vAlign w:val="center"/>
          </w:tcPr>
          <w:p w14:paraId="69838A0A">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带动就业人数</w:t>
            </w:r>
          </w:p>
        </w:tc>
        <w:tc>
          <w:tcPr>
            <w:tcW w:w="1151" w:type="dxa"/>
            <w:shd w:val="clear" w:color="auto" w:fill="auto"/>
            <w:noWrap/>
            <w:tcMar>
              <w:top w:w="15" w:type="dxa"/>
              <w:left w:w="15" w:type="dxa"/>
              <w:right w:w="15" w:type="dxa"/>
            </w:tcMar>
            <w:vAlign w:val="center"/>
          </w:tcPr>
          <w:p w14:paraId="18B358D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eastAsia"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人</w:t>
            </w:r>
          </w:p>
        </w:tc>
        <w:tc>
          <w:tcPr>
            <w:tcW w:w="1234" w:type="dxa"/>
            <w:shd w:val="clear" w:color="auto" w:fill="auto"/>
            <w:vAlign w:val="center"/>
          </w:tcPr>
          <w:p w14:paraId="13F55424">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45000</w:t>
            </w:r>
          </w:p>
        </w:tc>
        <w:tc>
          <w:tcPr>
            <w:tcW w:w="1177" w:type="dxa"/>
            <w:shd w:val="clear" w:color="auto" w:fill="auto"/>
            <w:vAlign w:val="center"/>
          </w:tcPr>
          <w:p w14:paraId="66F0F5AA">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2"/>
                <w:sz w:val="24"/>
                <w:szCs w:val="22"/>
                <w:highlight w:val="none"/>
                <w:lang w:val="en-US" w:eastAsia="zh-CN" w:bidi="ar-SA"/>
              </w:rPr>
            </w:pPr>
            <w:r>
              <w:rPr>
                <w:rFonts w:hint="eastAsia" w:ascii="Times New Roman" w:hAnsi="Times New Roman" w:cs="Times New Roman"/>
                <w:color w:val="auto"/>
                <w:sz w:val="24"/>
                <w:highlight w:val="none"/>
                <w:lang w:val="en-US" w:eastAsia="zh-CN"/>
              </w:rPr>
              <w:t>46000</w:t>
            </w:r>
          </w:p>
        </w:tc>
        <w:tc>
          <w:tcPr>
            <w:tcW w:w="1178" w:type="dxa"/>
            <w:shd w:val="clear" w:color="auto" w:fill="auto"/>
            <w:vAlign w:val="center"/>
          </w:tcPr>
          <w:p w14:paraId="26FF2E5F">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2"/>
                <w:sz w:val="24"/>
                <w:szCs w:val="22"/>
                <w:highlight w:val="none"/>
                <w:lang w:val="en-US" w:eastAsia="zh-CN" w:bidi="ar-SA"/>
              </w:rPr>
            </w:pPr>
            <w:r>
              <w:rPr>
                <w:rFonts w:hint="eastAsia" w:ascii="Times New Roman" w:hAnsi="Times New Roman" w:cs="Times New Roman"/>
                <w:color w:val="auto"/>
                <w:sz w:val="24"/>
                <w:highlight w:val="none"/>
                <w:lang w:val="en-US" w:eastAsia="zh-CN"/>
              </w:rPr>
              <w:t>48000</w:t>
            </w:r>
          </w:p>
        </w:tc>
        <w:tc>
          <w:tcPr>
            <w:tcW w:w="1148" w:type="dxa"/>
            <w:shd w:val="clear" w:color="auto" w:fill="auto"/>
            <w:vAlign w:val="center"/>
          </w:tcPr>
          <w:p w14:paraId="0297AB13">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2"/>
                <w:sz w:val="24"/>
                <w:szCs w:val="22"/>
                <w:highlight w:val="none"/>
                <w:lang w:val="en-US" w:eastAsia="zh-CN" w:bidi="ar-SA"/>
              </w:rPr>
            </w:pPr>
            <w:r>
              <w:rPr>
                <w:rFonts w:hint="eastAsia" w:ascii="Times New Roman" w:hAnsi="Times New Roman" w:cs="Times New Roman"/>
                <w:color w:val="auto"/>
                <w:sz w:val="24"/>
                <w:highlight w:val="none"/>
                <w:lang w:val="en-US" w:eastAsia="zh-CN"/>
              </w:rPr>
              <w:t>50000</w:t>
            </w:r>
          </w:p>
        </w:tc>
      </w:tr>
      <w:tr w14:paraId="293B3F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47" w:type="dxa"/>
            <w:vMerge w:val="continue"/>
            <w:shd w:val="clear" w:color="auto" w:fill="auto"/>
            <w:noWrap/>
            <w:tcMar>
              <w:top w:w="15" w:type="dxa"/>
              <w:left w:w="15" w:type="dxa"/>
              <w:right w:w="15" w:type="dxa"/>
            </w:tcMar>
            <w:vAlign w:val="center"/>
          </w:tcPr>
          <w:p w14:paraId="29A37C89">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Times New Roman"/>
                <w:b/>
                <w:bCs/>
                <w:color w:val="auto"/>
                <w:sz w:val="24"/>
                <w:highlight w:val="none"/>
                <w:lang w:val="en-US" w:eastAsia="zh-CN"/>
              </w:rPr>
            </w:pPr>
          </w:p>
        </w:tc>
        <w:tc>
          <w:tcPr>
            <w:tcW w:w="2462" w:type="dxa"/>
            <w:shd w:val="clear" w:color="auto" w:fill="auto"/>
            <w:tcMar>
              <w:top w:w="15" w:type="dxa"/>
              <w:left w:w="15" w:type="dxa"/>
              <w:right w:w="15" w:type="dxa"/>
            </w:tcMar>
            <w:vAlign w:val="center"/>
          </w:tcPr>
          <w:p w14:paraId="6039771B">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其中：二三产业就业人数</w:t>
            </w:r>
          </w:p>
        </w:tc>
        <w:tc>
          <w:tcPr>
            <w:tcW w:w="1151" w:type="dxa"/>
            <w:shd w:val="clear" w:color="auto" w:fill="auto"/>
            <w:noWrap/>
            <w:tcMar>
              <w:top w:w="15" w:type="dxa"/>
              <w:left w:w="15" w:type="dxa"/>
              <w:right w:w="15" w:type="dxa"/>
            </w:tcMar>
            <w:vAlign w:val="center"/>
          </w:tcPr>
          <w:p w14:paraId="78F8B96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_GB2312" w:cs="Times New Roman"/>
                <w:color w:val="auto"/>
                <w:sz w:val="24"/>
                <w:highlight w:val="none"/>
              </w:rPr>
            </w:pPr>
            <w:r>
              <w:rPr>
                <w:rFonts w:hint="eastAsia" w:ascii="Times New Roman" w:hAnsi="Times New Roman" w:cs="Times New Roman"/>
                <w:color w:val="auto"/>
                <w:sz w:val="24"/>
                <w:highlight w:val="none"/>
                <w:lang w:val="en-US" w:eastAsia="zh-CN"/>
              </w:rPr>
              <w:t>人</w:t>
            </w:r>
          </w:p>
        </w:tc>
        <w:tc>
          <w:tcPr>
            <w:tcW w:w="1234" w:type="dxa"/>
            <w:shd w:val="clear" w:color="auto" w:fill="auto"/>
            <w:vAlign w:val="center"/>
          </w:tcPr>
          <w:p w14:paraId="304EA3C7">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35000</w:t>
            </w:r>
          </w:p>
        </w:tc>
        <w:tc>
          <w:tcPr>
            <w:tcW w:w="1177" w:type="dxa"/>
            <w:shd w:val="clear" w:color="auto" w:fill="auto"/>
            <w:vAlign w:val="center"/>
          </w:tcPr>
          <w:p w14:paraId="3B2188C9">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35100</w:t>
            </w:r>
          </w:p>
        </w:tc>
        <w:tc>
          <w:tcPr>
            <w:tcW w:w="1178" w:type="dxa"/>
            <w:shd w:val="clear" w:color="auto" w:fill="auto"/>
            <w:vAlign w:val="center"/>
          </w:tcPr>
          <w:p w14:paraId="40410E1F">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35200</w:t>
            </w:r>
          </w:p>
        </w:tc>
        <w:tc>
          <w:tcPr>
            <w:tcW w:w="1148" w:type="dxa"/>
            <w:shd w:val="clear" w:color="auto" w:fill="auto"/>
            <w:vAlign w:val="center"/>
          </w:tcPr>
          <w:p w14:paraId="5158CB6D">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35300</w:t>
            </w:r>
          </w:p>
        </w:tc>
      </w:tr>
      <w:tr w14:paraId="38BD4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47" w:type="dxa"/>
            <w:vMerge w:val="continue"/>
            <w:shd w:val="clear" w:color="auto" w:fill="auto"/>
            <w:noWrap/>
            <w:tcMar>
              <w:top w:w="15" w:type="dxa"/>
              <w:left w:w="15" w:type="dxa"/>
              <w:right w:w="15" w:type="dxa"/>
            </w:tcMar>
            <w:vAlign w:val="center"/>
          </w:tcPr>
          <w:p w14:paraId="432DF1CF">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Times New Roman"/>
                <w:b/>
                <w:bCs/>
                <w:color w:val="auto"/>
                <w:sz w:val="24"/>
                <w:highlight w:val="none"/>
                <w:lang w:val="en-US" w:eastAsia="zh-CN"/>
              </w:rPr>
            </w:pPr>
          </w:p>
        </w:tc>
        <w:tc>
          <w:tcPr>
            <w:tcW w:w="2462" w:type="dxa"/>
            <w:shd w:val="clear" w:color="auto" w:fill="auto"/>
            <w:tcMar>
              <w:top w:w="15" w:type="dxa"/>
              <w:left w:w="15" w:type="dxa"/>
              <w:right w:w="15" w:type="dxa"/>
            </w:tcMar>
            <w:vAlign w:val="center"/>
          </w:tcPr>
          <w:p w14:paraId="4B9883EC">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园内农民人均可支配收入</w:t>
            </w:r>
          </w:p>
        </w:tc>
        <w:tc>
          <w:tcPr>
            <w:tcW w:w="1151" w:type="dxa"/>
            <w:shd w:val="clear" w:color="auto" w:fill="auto"/>
            <w:noWrap/>
            <w:tcMar>
              <w:top w:w="15" w:type="dxa"/>
              <w:left w:w="15" w:type="dxa"/>
              <w:right w:w="15" w:type="dxa"/>
            </w:tcMar>
            <w:vAlign w:val="center"/>
          </w:tcPr>
          <w:p w14:paraId="42CBEC5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eastAsia"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万元</w:t>
            </w:r>
          </w:p>
        </w:tc>
        <w:tc>
          <w:tcPr>
            <w:tcW w:w="1234" w:type="dxa"/>
            <w:shd w:val="clear" w:color="auto" w:fill="auto"/>
            <w:vAlign w:val="center"/>
          </w:tcPr>
          <w:p w14:paraId="0FECA291">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3</w:t>
            </w:r>
            <w:r>
              <w:rPr>
                <w:rFonts w:hint="eastAsia" w:ascii="Times New Roman" w:hAnsi="Times New Roman" w:cs="Times New Roman"/>
                <w:color w:val="auto"/>
                <w:sz w:val="24"/>
                <w:highlight w:val="none"/>
                <w:lang w:val="en-US" w:eastAsia="zh-CN"/>
              </w:rPr>
              <w:t>.</w:t>
            </w:r>
            <w:r>
              <w:rPr>
                <w:rFonts w:hint="default" w:ascii="Times New Roman" w:hAnsi="Times New Roman" w:eastAsia="仿宋_GB2312" w:cs="Times New Roman"/>
                <w:color w:val="auto"/>
                <w:sz w:val="24"/>
                <w:highlight w:val="none"/>
              </w:rPr>
              <w:t>17</w:t>
            </w:r>
          </w:p>
        </w:tc>
        <w:tc>
          <w:tcPr>
            <w:tcW w:w="1177" w:type="dxa"/>
            <w:shd w:val="clear" w:color="auto" w:fill="auto"/>
            <w:vAlign w:val="center"/>
          </w:tcPr>
          <w:p w14:paraId="6CDE1575">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3.4</w:t>
            </w:r>
          </w:p>
        </w:tc>
        <w:tc>
          <w:tcPr>
            <w:tcW w:w="1178" w:type="dxa"/>
            <w:shd w:val="clear" w:color="auto" w:fill="auto"/>
            <w:vAlign w:val="center"/>
          </w:tcPr>
          <w:p w14:paraId="2BBB4CD5">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3.6</w:t>
            </w:r>
          </w:p>
        </w:tc>
        <w:tc>
          <w:tcPr>
            <w:tcW w:w="1148" w:type="dxa"/>
            <w:shd w:val="clear" w:color="auto" w:fill="auto"/>
            <w:vAlign w:val="center"/>
          </w:tcPr>
          <w:p w14:paraId="3F7B0EBC">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3.8</w:t>
            </w:r>
          </w:p>
        </w:tc>
      </w:tr>
      <w:tr w14:paraId="6602B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47" w:type="dxa"/>
            <w:vMerge w:val="restart"/>
            <w:shd w:val="clear" w:color="auto" w:fill="auto"/>
            <w:noWrap/>
            <w:tcMar>
              <w:top w:w="15" w:type="dxa"/>
              <w:left w:w="15" w:type="dxa"/>
              <w:right w:w="15" w:type="dxa"/>
            </w:tcMar>
            <w:vAlign w:val="center"/>
          </w:tcPr>
          <w:p w14:paraId="1598CEAC">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支持水平</w:t>
            </w:r>
          </w:p>
        </w:tc>
        <w:tc>
          <w:tcPr>
            <w:tcW w:w="2462" w:type="dxa"/>
            <w:shd w:val="clear" w:color="auto" w:fill="auto"/>
            <w:tcMar>
              <w:top w:w="15" w:type="dxa"/>
              <w:left w:w="15" w:type="dxa"/>
              <w:right w:w="15" w:type="dxa"/>
            </w:tcMar>
            <w:vAlign w:val="center"/>
          </w:tcPr>
          <w:p w14:paraId="79EED5D7">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财政投入</w:t>
            </w:r>
          </w:p>
        </w:tc>
        <w:tc>
          <w:tcPr>
            <w:tcW w:w="1151" w:type="dxa"/>
            <w:shd w:val="clear" w:color="auto" w:fill="auto"/>
            <w:noWrap/>
            <w:tcMar>
              <w:top w:w="15" w:type="dxa"/>
              <w:left w:w="15" w:type="dxa"/>
              <w:right w:w="15" w:type="dxa"/>
            </w:tcMar>
            <w:vAlign w:val="center"/>
          </w:tcPr>
          <w:p w14:paraId="77662ED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eastAsia"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万元</w:t>
            </w:r>
          </w:p>
        </w:tc>
        <w:tc>
          <w:tcPr>
            <w:tcW w:w="1234" w:type="dxa"/>
            <w:shd w:val="clear" w:color="auto" w:fill="auto"/>
            <w:vAlign w:val="center"/>
          </w:tcPr>
          <w:p w14:paraId="5542F8DC">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31400</w:t>
            </w:r>
          </w:p>
        </w:tc>
        <w:tc>
          <w:tcPr>
            <w:tcW w:w="1177" w:type="dxa"/>
            <w:shd w:val="clear" w:color="auto" w:fill="auto"/>
            <w:vAlign w:val="center"/>
          </w:tcPr>
          <w:p w14:paraId="63C9ED42">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35000</w:t>
            </w:r>
          </w:p>
        </w:tc>
        <w:tc>
          <w:tcPr>
            <w:tcW w:w="1178" w:type="dxa"/>
            <w:shd w:val="clear" w:color="auto" w:fill="auto"/>
            <w:vAlign w:val="center"/>
          </w:tcPr>
          <w:p w14:paraId="04615AA2">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40000</w:t>
            </w:r>
          </w:p>
        </w:tc>
        <w:tc>
          <w:tcPr>
            <w:tcW w:w="1148" w:type="dxa"/>
            <w:shd w:val="clear" w:color="auto" w:fill="auto"/>
            <w:vAlign w:val="center"/>
          </w:tcPr>
          <w:p w14:paraId="5EA28854">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45000</w:t>
            </w:r>
          </w:p>
        </w:tc>
      </w:tr>
      <w:tr w14:paraId="799E7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47" w:type="dxa"/>
            <w:vMerge w:val="continue"/>
            <w:shd w:val="clear" w:color="auto" w:fill="auto"/>
            <w:noWrap/>
            <w:tcMar>
              <w:top w:w="15" w:type="dxa"/>
              <w:left w:w="15" w:type="dxa"/>
              <w:right w:w="15" w:type="dxa"/>
            </w:tcMar>
            <w:vAlign w:val="center"/>
          </w:tcPr>
          <w:p w14:paraId="698E9AF1">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bCs/>
                <w:color w:val="auto"/>
                <w:sz w:val="24"/>
                <w:highlight w:val="none"/>
              </w:rPr>
            </w:pPr>
          </w:p>
        </w:tc>
        <w:tc>
          <w:tcPr>
            <w:tcW w:w="2462" w:type="dxa"/>
            <w:shd w:val="clear" w:color="auto" w:fill="auto"/>
            <w:tcMar>
              <w:top w:w="15" w:type="dxa"/>
              <w:left w:w="15" w:type="dxa"/>
              <w:right w:w="15" w:type="dxa"/>
            </w:tcMar>
            <w:vAlign w:val="center"/>
          </w:tcPr>
          <w:p w14:paraId="3E47970A">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金融机构对产业园的贷款余额</w:t>
            </w:r>
          </w:p>
        </w:tc>
        <w:tc>
          <w:tcPr>
            <w:tcW w:w="1151" w:type="dxa"/>
            <w:shd w:val="clear" w:color="auto" w:fill="auto"/>
            <w:noWrap/>
            <w:tcMar>
              <w:top w:w="15" w:type="dxa"/>
              <w:left w:w="15" w:type="dxa"/>
              <w:right w:w="15" w:type="dxa"/>
            </w:tcMar>
            <w:vAlign w:val="center"/>
          </w:tcPr>
          <w:p w14:paraId="6FAFE41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_GB2312" w:cs="Times New Roman"/>
                <w:color w:val="auto"/>
                <w:sz w:val="24"/>
                <w:highlight w:val="none"/>
              </w:rPr>
            </w:pPr>
            <w:r>
              <w:rPr>
                <w:rFonts w:hint="eastAsia" w:ascii="Times New Roman" w:hAnsi="Times New Roman" w:cs="Times New Roman"/>
                <w:color w:val="auto"/>
                <w:sz w:val="24"/>
                <w:highlight w:val="none"/>
                <w:lang w:val="en-US" w:eastAsia="zh-CN"/>
              </w:rPr>
              <w:t>万元</w:t>
            </w:r>
          </w:p>
        </w:tc>
        <w:tc>
          <w:tcPr>
            <w:tcW w:w="1234" w:type="dxa"/>
            <w:shd w:val="clear" w:color="auto" w:fill="auto"/>
            <w:vAlign w:val="center"/>
          </w:tcPr>
          <w:p w14:paraId="1D877A19">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521640</w:t>
            </w:r>
          </w:p>
        </w:tc>
        <w:tc>
          <w:tcPr>
            <w:tcW w:w="1177" w:type="dxa"/>
            <w:shd w:val="clear" w:color="auto" w:fill="auto"/>
            <w:vAlign w:val="center"/>
          </w:tcPr>
          <w:p w14:paraId="5DEB7D1A">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523000</w:t>
            </w:r>
          </w:p>
        </w:tc>
        <w:tc>
          <w:tcPr>
            <w:tcW w:w="1178" w:type="dxa"/>
            <w:shd w:val="clear" w:color="auto" w:fill="auto"/>
            <w:vAlign w:val="center"/>
          </w:tcPr>
          <w:p w14:paraId="11896879">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525000</w:t>
            </w:r>
          </w:p>
        </w:tc>
        <w:tc>
          <w:tcPr>
            <w:tcW w:w="1148" w:type="dxa"/>
            <w:shd w:val="clear" w:color="auto" w:fill="auto"/>
            <w:vAlign w:val="center"/>
          </w:tcPr>
          <w:p w14:paraId="18C8C927">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527000</w:t>
            </w:r>
          </w:p>
        </w:tc>
      </w:tr>
      <w:tr w14:paraId="509FE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47" w:type="dxa"/>
            <w:vMerge w:val="continue"/>
            <w:shd w:val="clear" w:color="auto" w:fill="auto"/>
            <w:noWrap/>
            <w:tcMar>
              <w:top w:w="15" w:type="dxa"/>
              <w:left w:w="15" w:type="dxa"/>
              <w:right w:w="15" w:type="dxa"/>
            </w:tcMar>
            <w:vAlign w:val="center"/>
          </w:tcPr>
          <w:p w14:paraId="5189FC74">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bCs/>
                <w:color w:val="auto"/>
                <w:sz w:val="24"/>
                <w:highlight w:val="none"/>
              </w:rPr>
            </w:pPr>
          </w:p>
        </w:tc>
        <w:tc>
          <w:tcPr>
            <w:tcW w:w="2462" w:type="dxa"/>
            <w:shd w:val="clear" w:color="auto" w:fill="auto"/>
            <w:tcMar>
              <w:top w:w="15" w:type="dxa"/>
              <w:left w:w="15" w:type="dxa"/>
              <w:right w:w="15" w:type="dxa"/>
            </w:tcMar>
            <w:vAlign w:val="center"/>
          </w:tcPr>
          <w:p w14:paraId="54B8DE4B">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社会资本投入</w:t>
            </w:r>
          </w:p>
        </w:tc>
        <w:tc>
          <w:tcPr>
            <w:tcW w:w="1151" w:type="dxa"/>
            <w:shd w:val="clear" w:color="auto" w:fill="auto"/>
            <w:noWrap/>
            <w:tcMar>
              <w:top w:w="15" w:type="dxa"/>
              <w:left w:w="15" w:type="dxa"/>
              <w:right w:w="15" w:type="dxa"/>
            </w:tcMar>
            <w:vAlign w:val="center"/>
          </w:tcPr>
          <w:p w14:paraId="1619B02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_GB2312" w:cs="Times New Roman"/>
                <w:color w:val="auto"/>
                <w:sz w:val="24"/>
                <w:highlight w:val="none"/>
              </w:rPr>
            </w:pPr>
            <w:r>
              <w:rPr>
                <w:rFonts w:hint="eastAsia" w:ascii="Times New Roman" w:hAnsi="Times New Roman" w:cs="Times New Roman"/>
                <w:color w:val="auto"/>
                <w:sz w:val="24"/>
                <w:highlight w:val="none"/>
                <w:lang w:val="en-US" w:eastAsia="zh-CN"/>
              </w:rPr>
              <w:t>万元</w:t>
            </w:r>
          </w:p>
        </w:tc>
        <w:tc>
          <w:tcPr>
            <w:tcW w:w="1234" w:type="dxa"/>
            <w:shd w:val="clear" w:color="auto" w:fill="auto"/>
            <w:vAlign w:val="center"/>
          </w:tcPr>
          <w:p w14:paraId="273A37F7">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152600</w:t>
            </w:r>
          </w:p>
        </w:tc>
        <w:tc>
          <w:tcPr>
            <w:tcW w:w="1177" w:type="dxa"/>
            <w:shd w:val="clear" w:color="auto" w:fill="auto"/>
            <w:vAlign w:val="center"/>
          </w:tcPr>
          <w:p w14:paraId="6DE3B9A6">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158000</w:t>
            </w:r>
          </w:p>
        </w:tc>
        <w:tc>
          <w:tcPr>
            <w:tcW w:w="1178" w:type="dxa"/>
            <w:shd w:val="clear" w:color="auto" w:fill="auto"/>
            <w:vAlign w:val="center"/>
          </w:tcPr>
          <w:p w14:paraId="1AACFF53">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165000</w:t>
            </w:r>
          </w:p>
        </w:tc>
        <w:tc>
          <w:tcPr>
            <w:tcW w:w="1148" w:type="dxa"/>
            <w:shd w:val="clear" w:color="auto" w:fill="auto"/>
            <w:vAlign w:val="center"/>
          </w:tcPr>
          <w:p w14:paraId="39F664F7">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170000</w:t>
            </w:r>
          </w:p>
        </w:tc>
      </w:tr>
    </w:tbl>
    <w:p w14:paraId="7306ADE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outlineLvl w:val="0"/>
        <w:rPr>
          <w:rFonts w:hint="eastAsia" w:ascii="Times New Roman" w:hAnsi="Times New Roman" w:eastAsia="仿宋_GB2312" w:cs="仿宋_GB2312"/>
          <w:b w:val="0"/>
          <w:bCs w:val="0"/>
          <w:color w:val="auto"/>
          <w:kern w:val="0"/>
          <w:sz w:val="24"/>
          <w:szCs w:val="24"/>
          <w:highlight w:val="none"/>
          <w:lang w:val="en-US" w:eastAsia="zh-CN"/>
        </w:rPr>
      </w:pPr>
    </w:p>
    <w:p w14:paraId="4C82A37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outlineLvl w:val="0"/>
        <w:rPr>
          <w:rFonts w:hint="default" w:ascii="Times New Roman" w:hAnsi="Times New Roman" w:eastAsia="仿宋_GB2312" w:cs="仿宋_GB2312"/>
          <w:b w:val="0"/>
          <w:bCs w:val="0"/>
          <w:color w:val="auto"/>
          <w:kern w:val="0"/>
          <w:sz w:val="24"/>
          <w:szCs w:val="24"/>
          <w:highlight w:val="none"/>
          <w:lang w:val="en-US" w:eastAsia="zh-CN"/>
        </w:rPr>
      </w:pPr>
      <w:bookmarkStart w:id="98" w:name="_Toc19071"/>
      <w:bookmarkStart w:id="99" w:name="_Toc23079"/>
      <w:r>
        <w:rPr>
          <w:rFonts w:hint="eastAsia" w:ascii="Times New Roman" w:hAnsi="Times New Roman" w:eastAsia="仿宋_GB2312" w:cs="仿宋_GB2312"/>
          <w:b w:val="0"/>
          <w:bCs w:val="0"/>
          <w:color w:val="auto"/>
          <w:kern w:val="0"/>
          <w:sz w:val="24"/>
          <w:szCs w:val="24"/>
          <w:highlight w:val="none"/>
          <w:lang w:val="en-US" w:eastAsia="zh-CN"/>
        </w:rPr>
        <w:t>说明：</w:t>
      </w:r>
      <w:r>
        <w:rPr>
          <w:rFonts w:hint="eastAsia" w:ascii="Times New Roman" w:hAnsi="Times New Roman" w:cs="仿宋_GB2312"/>
          <w:b w:val="0"/>
          <w:bCs w:val="0"/>
          <w:color w:val="auto"/>
          <w:kern w:val="0"/>
          <w:sz w:val="24"/>
          <w:szCs w:val="24"/>
          <w:highlight w:val="none"/>
          <w:lang w:val="en-US" w:eastAsia="zh-CN"/>
        </w:rPr>
        <w:t>产业园建设目标表中“</w:t>
      </w:r>
      <w:r>
        <w:rPr>
          <w:rFonts w:hint="default" w:ascii="Times New Roman" w:hAnsi="Times New Roman" w:eastAsia="仿宋_GB2312" w:cs="Times New Roman"/>
          <w:color w:val="auto"/>
          <w:sz w:val="24"/>
          <w:highlight w:val="none"/>
        </w:rPr>
        <w:t>新品种新技术研发引进推广经费支出</w:t>
      </w:r>
      <w:r>
        <w:rPr>
          <w:rFonts w:hint="eastAsia" w:ascii="Times New Roman" w:hAnsi="Times New Roman" w:cs="Times New Roman"/>
          <w:color w:val="auto"/>
          <w:sz w:val="24"/>
          <w:highlight w:val="none"/>
          <w:lang w:eastAsia="zh-CN"/>
        </w:rPr>
        <w:t>”“省级及以上科研单位设立研发平台”“</w:t>
      </w:r>
      <w:r>
        <w:rPr>
          <w:rFonts w:hint="default" w:ascii="Times New Roman" w:hAnsi="Times New Roman" w:eastAsia="仿宋_GB2312" w:cs="Times New Roman"/>
          <w:color w:val="auto"/>
          <w:sz w:val="24"/>
          <w:highlight w:val="none"/>
        </w:rPr>
        <w:t>专业技术人员数量</w:t>
      </w:r>
      <w:r>
        <w:rPr>
          <w:rFonts w:hint="eastAsia" w:ascii="Times New Roman" w:hAnsi="Times New Roman" w:cs="Times New Roman"/>
          <w:color w:val="auto"/>
          <w:sz w:val="24"/>
          <w:highlight w:val="none"/>
          <w:lang w:eastAsia="zh-CN"/>
        </w:rPr>
        <w:t>”“</w:t>
      </w:r>
      <w:r>
        <w:rPr>
          <w:rFonts w:hint="default" w:ascii="Times New Roman" w:hAnsi="Times New Roman" w:eastAsia="仿宋_GB2312" w:cs="Times New Roman"/>
          <w:color w:val="auto"/>
          <w:sz w:val="24"/>
          <w:highlight w:val="none"/>
        </w:rPr>
        <w:t>入园参与主导产业生产经营企业</w:t>
      </w:r>
      <w:r>
        <w:rPr>
          <w:rFonts w:hint="eastAsia" w:ascii="Times New Roman" w:hAnsi="Times New Roman" w:cs="Times New Roman"/>
          <w:color w:val="auto"/>
          <w:sz w:val="24"/>
          <w:highlight w:val="none"/>
          <w:lang w:eastAsia="zh-CN"/>
        </w:rPr>
        <w:t>”“</w:t>
      </w:r>
      <w:r>
        <w:rPr>
          <w:rFonts w:hint="default" w:ascii="Times New Roman" w:hAnsi="Times New Roman" w:eastAsia="仿宋_GB2312" w:cs="Times New Roman"/>
          <w:color w:val="auto"/>
          <w:sz w:val="24"/>
          <w:highlight w:val="none"/>
        </w:rPr>
        <w:t>省级龙头企业</w:t>
      </w:r>
      <w:r>
        <w:rPr>
          <w:rFonts w:hint="eastAsia" w:ascii="Times New Roman" w:hAnsi="Times New Roman" w:cs="Times New Roman"/>
          <w:color w:val="auto"/>
          <w:sz w:val="24"/>
          <w:highlight w:val="none"/>
          <w:lang w:eastAsia="zh-CN"/>
        </w:rPr>
        <w:t>”“</w:t>
      </w:r>
      <w:r>
        <w:rPr>
          <w:rFonts w:hint="default" w:ascii="Times New Roman" w:hAnsi="Times New Roman" w:eastAsia="仿宋_GB2312" w:cs="Times New Roman"/>
          <w:color w:val="auto"/>
          <w:sz w:val="24"/>
          <w:highlight w:val="none"/>
        </w:rPr>
        <w:t>从事主导产业生产经营合作社</w:t>
      </w:r>
      <w:r>
        <w:rPr>
          <w:rFonts w:hint="eastAsia" w:ascii="Times New Roman" w:hAnsi="Times New Roman" w:cs="Times New Roman"/>
          <w:color w:val="auto"/>
          <w:sz w:val="24"/>
          <w:highlight w:val="none"/>
          <w:lang w:eastAsia="zh-CN"/>
        </w:rPr>
        <w:t>”“</w:t>
      </w:r>
      <w:r>
        <w:rPr>
          <w:rFonts w:hint="default" w:ascii="Times New Roman" w:hAnsi="Times New Roman" w:eastAsia="仿宋_GB2312" w:cs="Times New Roman"/>
          <w:color w:val="auto"/>
          <w:sz w:val="24"/>
          <w:highlight w:val="none"/>
        </w:rPr>
        <w:t>从事主导产业生产经营家庭农场</w:t>
      </w:r>
      <w:r>
        <w:rPr>
          <w:rFonts w:hint="eastAsia" w:ascii="Times New Roman" w:hAnsi="Times New Roman" w:cs="Times New Roman"/>
          <w:color w:val="auto"/>
          <w:sz w:val="24"/>
          <w:highlight w:val="none"/>
          <w:lang w:eastAsia="zh-CN"/>
        </w:rPr>
        <w:t>”“</w:t>
      </w:r>
      <w:r>
        <w:rPr>
          <w:rFonts w:hint="eastAsia" w:ascii="Times New Roman" w:hAnsi="Times New Roman" w:eastAsia="仿宋_GB2312" w:cs="Times New Roman"/>
          <w:color w:val="auto"/>
          <w:sz w:val="24"/>
          <w:highlight w:val="none"/>
          <w:lang w:eastAsia="zh-CN"/>
        </w:rPr>
        <w:t>绿色食品和有机农产品认证面积</w:t>
      </w:r>
      <w:r>
        <w:rPr>
          <w:rFonts w:hint="eastAsia" w:ascii="Times New Roman" w:hAnsi="Times New Roman" w:cs="Times New Roman"/>
          <w:color w:val="auto"/>
          <w:sz w:val="24"/>
          <w:highlight w:val="none"/>
          <w:lang w:eastAsia="zh-CN"/>
        </w:rPr>
        <w:t>”“</w:t>
      </w:r>
      <w:r>
        <w:rPr>
          <w:rFonts w:hint="default" w:ascii="Times New Roman" w:hAnsi="Times New Roman" w:eastAsia="仿宋_GB2312" w:cs="Times New Roman"/>
          <w:color w:val="auto"/>
          <w:sz w:val="24"/>
          <w:highlight w:val="none"/>
        </w:rPr>
        <w:t>带动就业人数</w:t>
      </w:r>
      <w:r>
        <w:rPr>
          <w:rFonts w:hint="eastAsia" w:ascii="Times New Roman" w:hAnsi="Times New Roman" w:cs="Times New Roman"/>
          <w:color w:val="auto"/>
          <w:sz w:val="24"/>
          <w:highlight w:val="none"/>
          <w:lang w:eastAsia="zh-CN"/>
        </w:rPr>
        <w:t>”“</w:t>
      </w:r>
      <w:r>
        <w:rPr>
          <w:rFonts w:hint="default" w:ascii="Times New Roman" w:hAnsi="Times New Roman" w:eastAsia="仿宋_GB2312" w:cs="Times New Roman"/>
          <w:color w:val="auto"/>
          <w:sz w:val="24"/>
          <w:highlight w:val="none"/>
        </w:rPr>
        <w:t>财政投入</w:t>
      </w:r>
      <w:r>
        <w:rPr>
          <w:rFonts w:hint="eastAsia" w:ascii="Times New Roman" w:hAnsi="Times New Roman" w:cs="Times New Roman"/>
          <w:color w:val="auto"/>
          <w:sz w:val="24"/>
          <w:highlight w:val="none"/>
          <w:lang w:eastAsia="zh-CN"/>
        </w:rPr>
        <w:t>”“</w:t>
      </w:r>
      <w:r>
        <w:rPr>
          <w:rFonts w:hint="default" w:ascii="Times New Roman" w:hAnsi="Times New Roman" w:eastAsia="仿宋_GB2312" w:cs="Times New Roman"/>
          <w:color w:val="auto"/>
          <w:sz w:val="24"/>
          <w:highlight w:val="none"/>
        </w:rPr>
        <w:t>金融机构对产业园的贷款余额</w:t>
      </w:r>
      <w:r>
        <w:rPr>
          <w:rFonts w:hint="eastAsia" w:ascii="Times New Roman" w:hAnsi="Times New Roman" w:cs="Times New Roman"/>
          <w:color w:val="auto"/>
          <w:sz w:val="24"/>
          <w:highlight w:val="none"/>
          <w:lang w:eastAsia="zh-CN"/>
        </w:rPr>
        <w:t>”“</w:t>
      </w:r>
      <w:r>
        <w:rPr>
          <w:rFonts w:hint="default" w:ascii="Times New Roman" w:hAnsi="Times New Roman" w:eastAsia="仿宋_GB2312" w:cs="Times New Roman"/>
          <w:color w:val="auto"/>
          <w:sz w:val="24"/>
          <w:highlight w:val="none"/>
        </w:rPr>
        <w:t>社会资本投入</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指标为产业园创建期间累计值。</w:t>
      </w:r>
      <w:bookmarkEnd w:id="98"/>
      <w:bookmarkEnd w:id="99"/>
    </w:p>
    <w:p w14:paraId="4F044032">
      <w:pPr>
        <w:pageBreakBefore w:val="0"/>
        <w:kinsoku/>
        <w:overflowPunct/>
        <w:topLinePunct w:val="0"/>
        <w:autoSpaceDE/>
        <w:autoSpaceDN/>
        <w:bidi w:val="0"/>
        <w:adjustRightInd/>
        <w:snapToGrid/>
        <w:spacing w:line="590" w:lineRule="exact"/>
        <w:ind w:left="0" w:leftChars="0" w:firstLine="0" w:firstLineChars="0"/>
        <w:jc w:val="left"/>
        <w:outlineLvl w:val="0"/>
        <w:rPr>
          <w:rFonts w:hint="eastAsia" w:ascii="Times New Roman" w:hAnsi="Times New Roman" w:eastAsia="黑体" w:cs="Times New Roman"/>
          <w:b w:val="0"/>
          <w:bCs w:val="0"/>
          <w:color w:val="auto"/>
          <w:kern w:val="0"/>
          <w:sz w:val="28"/>
          <w:szCs w:val="28"/>
          <w:highlight w:val="none"/>
        </w:rPr>
      </w:pPr>
    </w:p>
    <w:p w14:paraId="5740CC60">
      <w:pPr>
        <w:pStyle w:val="4"/>
        <w:keepNext w:val="0"/>
        <w:keepLines/>
        <w:pageBreakBefore w:val="0"/>
        <w:widowControl/>
        <w:kinsoku/>
        <w:wordWrap/>
        <w:overflowPunct/>
        <w:topLinePunct w:val="0"/>
        <w:autoSpaceDE/>
        <w:autoSpaceDN/>
        <w:bidi w:val="0"/>
        <w:adjustRightInd/>
        <w:snapToGrid/>
        <w:spacing w:line="590" w:lineRule="exact"/>
        <w:ind w:firstLine="640" w:firstLineChars="0"/>
        <w:textAlignment w:val="auto"/>
        <w:outlineLvl w:val="1"/>
        <w:rPr>
          <w:rFonts w:hint="eastAsia" w:ascii="Times New Roman" w:hAnsi="Times New Roman" w:eastAsia="楷体_GB2312" w:cs="楷体_GB2312"/>
          <w:b/>
          <w:bCs w:val="0"/>
          <w:color w:val="auto"/>
          <w:highlight w:val="none"/>
          <w:lang w:val="en-US" w:eastAsia="zh-CN"/>
        </w:rPr>
      </w:pPr>
      <w:bookmarkStart w:id="100" w:name="_Toc9816"/>
      <w:bookmarkStart w:id="101" w:name="_Toc12637"/>
      <w:bookmarkStart w:id="102" w:name="_Toc20329"/>
      <w:bookmarkStart w:id="103" w:name="_Toc29609"/>
      <w:bookmarkStart w:id="104" w:name="_Toc14706"/>
      <w:bookmarkStart w:id="105" w:name="_Toc16716"/>
      <w:r>
        <w:rPr>
          <w:rFonts w:hint="eastAsia" w:ascii="Times New Roman" w:hAnsi="Times New Roman" w:eastAsia="楷体_GB2312" w:cs="楷体_GB2312"/>
          <w:b/>
          <w:bCs w:val="0"/>
          <w:color w:val="auto"/>
          <w:highlight w:val="none"/>
          <w:lang w:val="en-US" w:eastAsia="zh-CN"/>
        </w:rPr>
        <w:t>（五）建设阶段任务</w:t>
      </w:r>
      <w:bookmarkEnd w:id="100"/>
      <w:bookmarkEnd w:id="101"/>
    </w:p>
    <w:p w14:paraId="767978F9">
      <w:pPr>
        <w:autoSpaceDE w:val="0"/>
        <w:autoSpaceDN w:val="0"/>
        <w:adjustRightInd w:val="0"/>
        <w:spacing w:line="360" w:lineRule="auto"/>
        <w:ind w:firstLine="643"/>
        <w:jc w:val="left"/>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立足澄海区作为全国数一数二的狮头鹅产地，结合全面实施乡村振兴战略的总体要求，以及全国农业供给侧结构性改革逐步深化的内在要求，在双循环的背景下，遵循国家现代农业产业园规模养殖、加工转化、品牌营销和创新驱动的发展内涵，按照现代农业产业园打造“生产+加工+科技”的全产业链要求，结合现代农业产业园“一年有起色、两年见成效、三年成示范”的总体安排，制定</w:t>
      </w:r>
      <w:r>
        <w:rPr>
          <w:rFonts w:hint="eastAsia" w:ascii="Times New Roman" w:hAnsi="Times New Roman" w:cs="Times New Roman"/>
          <w:color w:val="auto"/>
          <w:sz w:val="32"/>
          <w:szCs w:val="32"/>
          <w:highlight w:val="none"/>
          <w:lang w:eastAsia="zh-CN"/>
        </w:rPr>
        <w:t>建设</w:t>
      </w:r>
      <w:r>
        <w:rPr>
          <w:rFonts w:hint="default" w:ascii="Times New Roman" w:hAnsi="Times New Roman" w:eastAsia="仿宋_GB2312" w:cs="Times New Roman"/>
          <w:color w:val="auto"/>
          <w:sz w:val="32"/>
          <w:szCs w:val="32"/>
          <w:highlight w:val="none"/>
        </w:rPr>
        <w:t>年度实施计划。产业园建设将分三个</w:t>
      </w:r>
      <w:r>
        <w:rPr>
          <w:rFonts w:hint="eastAsia" w:ascii="Times New Roman" w:hAnsi="Times New Roman" w:cs="Times New Roman"/>
          <w:color w:val="auto"/>
          <w:sz w:val="32"/>
          <w:szCs w:val="32"/>
          <w:highlight w:val="none"/>
          <w:lang w:eastAsia="zh-CN"/>
        </w:rPr>
        <w:t>建设</w:t>
      </w:r>
      <w:r>
        <w:rPr>
          <w:rFonts w:hint="default" w:ascii="Times New Roman" w:hAnsi="Times New Roman" w:eastAsia="仿宋_GB2312" w:cs="Times New Roman"/>
          <w:color w:val="auto"/>
          <w:sz w:val="32"/>
          <w:szCs w:val="32"/>
          <w:highlight w:val="none"/>
        </w:rPr>
        <w:t>阶段，分批规划</w:t>
      </w:r>
      <w:r>
        <w:rPr>
          <w:rFonts w:hint="eastAsia" w:ascii="Times New Roman" w:hAnsi="Times New Roman" w:cs="Times New Roman"/>
          <w:color w:val="auto"/>
          <w:sz w:val="32"/>
          <w:szCs w:val="32"/>
          <w:highlight w:val="none"/>
          <w:lang w:eastAsia="zh-CN"/>
        </w:rPr>
        <w:t>建设</w:t>
      </w:r>
      <w:r>
        <w:rPr>
          <w:rFonts w:hint="default" w:ascii="Times New Roman" w:hAnsi="Times New Roman" w:eastAsia="仿宋_GB2312" w:cs="Times New Roman"/>
          <w:color w:val="auto"/>
          <w:sz w:val="32"/>
          <w:szCs w:val="32"/>
          <w:highlight w:val="none"/>
        </w:rPr>
        <w:t>任务，与奖补资金划分政策相适应。</w:t>
      </w:r>
    </w:p>
    <w:p w14:paraId="2CF12773">
      <w:pPr>
        <w:pStyle w:val="4"/>
        <w:pageBreakBefore w:val="0"/>
        <w:kinsoku/>
        <w:overflowPunct/>
        <w:topLinePunct w:val="0"/>
        <w:autoSpaceDE/>
        <w:autoSpaceDN/>
        <w:bidi w:val="0"/>
        <w:adjustRightInd/>
        <w:snapToGrid/>
        <w:spacing w:line="240" w:lineRule="auto"/>
        <w:rPr>
          <w:rFonts w:hint="default" w:ascii="Times New Roman" w:hAnsi="Times New Roman" w:cs="仿宋_GB2312"/>
          <w:color w:val="auto"/>
          <w:sz w:val="32"/>
          <w:szCs w:val="32"/>
          <w:highlight w:val="none"/>
          <w:lang w:val="en-US" w:eastAsia="zh-CN"/>
        </w:rPr>
      </w:pPr>
      <w:r>
        <w:rPr>
          <w:rFonts w:hint="default" w:ascii="Times New Roman" w:hAnsi="Times New Roman" w:cs="仿宋_GB2312"/>
          <w:color w:val="auto"/>
          <w:sz w:val="32"/>
          <w:szCs w:val="32"/>
          <w:highlight w:val="none"/>
          <w:lang w:val="en-US" w:eastAsia="zh-CN"/>
        </w:rPr>
        <w:t>1.2024年初产业园方案编制年</w:t>
      </w:r>
    </w:p>
    <w:p w14:paraId="639D0605">
      <w:pPr>
        <w:autoSpaceDE w:val="0"/>
        <w:autoSpaceDN w:val="0"/>
        <w:adjustRightInd w:val="0"/>
        <w:spacing w:line="360" w:lineRule="auto"/>
        <w:ind w:firstLine="643"/>
        <w:jc w:val="left"/>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根据产业发展基础，明确产业园的发展定位、发展思路、规划目标和重点任务，制定出产业园实施</w:t>
      </w:r>
      <w:r>
        <w:rPr>
          <w:rFonts w:hint="eastAsia" w:ascii="Times New Roman" w:hAnsi="Times New Roman" w:cs="Times New Roman"/>
          <w:color w:val="auto"/>
          <w:sz w:val="32"/>
          <w:szCs w:val="32"/>
          <w:highlight w:val="none"/>
          <w:lang w:eastAsia="zh-CN"/>
        </w:rPr>
        <w:t>指</w:t>
      </w:r>
      <w:r>
        <w:rPr>
          <w:rFonts w:hint="default" w:ascii="Times New Roman" w:hAnsi="Times New Roman" w:eastAsia="仿宋_GB2312" w:cs="Times New Roman"/>
          <w:color w:val="auto"/>
          <w:sz w:val="32"/>
          <w:szCs w:val="32"/>
          <w:highlight w:val="none"/>
        </w:rPr>
        <w:t>导意见及工作任务实施方案，做好项目实施主体的遴选工作，</w:t>
      </w:r>
      <w:r>
        <w:rPr>
          <w:rFonts w:hint="eastAsia" w:ascii="Times New Roman" w:hAnsi="Times New Roman" w:cs="Times New Roman"/>
          <w:color w:val="auto"/>
          <w:sz w:val="32"/>
          <w:szCs w:val="32"/>
          <w:highlight w:val="none"/>
          <w:lang w:eastAsia="zh-CN"/>
        </w:rPr>
        <w:t>制定</w:t>
      </w:r>
      <w:r>
        <w:rPr>
          <w:rFonts w:hint="default" w:ascii="Times New Roman" w:hAnsi="Times New Roman" w:eastAsia="仿宋_GB2312" w:cs="Times New Roman"/>
          <w:color w:val="auto"/>
          <w:sz w:val="32"/>
          <w:szCs w:val="32"/>
          <w:highlight w:val="none"/>
        </w:rPr>
        <w:t>产业园中央财政奖补资金使用方案和使用规范，合理安排财政资金，确保项目绩效可量化、符合当地实际。同时，加强组织管理，统筹区内各职能部门，出台落实产业园优惠政策。</w:t>
      </w:r>
    </w:p>
    <w:p w14:paraId="572B7E43">
      <w:pPr>
        <w:pStyle w:val="4"/>
        <w:pageBreakBefore w:val="0"/>
        <w:kinsoku/>
        <w:overflowPunct/>
        <w:topLinePunct w:val="0"/>
        <w:autoSpaceDE/>
        <w:autoSpaceDN/>
        <w:bidi w:val="0"/>
        <w:adjustRightInd/>
        <w:snapToGrid/>
        <w:spacing w:line="240" w:lineRule="auto"/>
        <w:rPr>
          <w:rFonts w:hint="default" w:ascii="Times New Roman" w:hAnsi="Times New Roman" w:cs="仿宋_GB2312"/>
          <w:color w:val="auto"/>
          <w:sz w:val="32"/>
          <w:szCs w:val="32"/>
          <w:highlight w:val="none"/>
          <w:lang w:val="en-US" w:eastAsia="zh-CN"/>
        </w:rPr>
      </w:pPr>
      <w:r>
        <w:rPr>
          <w:rFonts w:hint="default" w:ascii="Times New Roman" w:hAnsi="Times New Roman" w:cs="仿宋_GB2312"/>
          <w:color w:val="auto"/>
          <w:sz w:val="32"/>
          <w:szCs w:val="32"/>
          <w:highlight w:val="none"/>
          <w:lang w:val="en-US" w:eastAsia="zh-CN"/>
        </w:rPr>
        <w:t>2.2024—2025年</w:t>
      </w:r>
      <w:r>
        <w:rPr>
          <w:rFonts w:hint="eastAsia" w:ascii="Times New Roman" w:hAnsi="Times New Roman" w:cs="仿宋_GB2312"/>
          <w:color w:val="auto"/>
          <w:sz w:val="32"/>
          <w:szCs w:val="32"/>
          <w:highlight w:val="none"/>
          <w:lang w:val="en-US" w:eastAsia="zh-CN"/>
        </w:rPr>
        <w:t>建设</w:t>
      </w:r>
      <w:r>
        <w:rPr>
          <w:rFonts w:hint="default" w:ascii="Times New Roman" w:hAnsi="Times New Roman" w:cs="仿宋_GB2312"/>
          <w:color w:val="auto"/>
          <w:sz w:val="32"/>
          <w:szCs w:val="32"/>
          <w:highlight w:val="none"/>
          <w:lang w:val="en-US" w:eastAsia="zh-CN"/>
        </w:rPr>
        <w:t>全面启动年</w:t>
      </w:r>
    </w:p>
    <w:p w14:paraId="64C17A3D">
      <w:pPr>
        <w:autoSpaceDE w:val="0"/>
        <w:autoSpaceDN w:val="0"/>
        <w:adjustRightInd w:val="0"/>
        <w:spacing w:line="360" w:lineRule="auto"/>
        <w:ind w:firstLine="643"/>
        <w:jc w:val="left"/>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重点根据项目建设内容，开展产业园的</w:t>
      </w:r>
      <w:r>
        <w:rPr>
          <w:rFonts w:hint="eastAsia" w:ascii="Times New Roman" w:hAnsi="Times New Roman" w:cs="Times New Roman"/>
          <w:color w:val="auto"/>
          <w:sz w:val="32"/>
          <w:szCs w:val="32"/>
          <w:highlight w:val="none"/>
          <w:lang w:eastAsia="zh-CN"/>
        </w:rPr>
        <w:t>建设</w:t>
      </w:r>
      <w:r>
        <w:rPr>
          <w:rFonts w:hint="default" w:ascii="Times New Roman" w:hAnsi="Times New Roman" w:eastAsia="仿宋_GB2312" w:cs="Times New Roman"/>
          <w:color w:val="auto"/>
          <w:sz w:val="32"/>
          <w:szCs w:val="32"/>
          <w:highlight w:val="none"/>
        </w:rPr>
        <w:t>工作。按照相关法律法规，做好中央财政奖补资金的申请、拨付工作，督促各实施主体做好项目的专账管理和项目管理工作，确保项目按时按质完成，完成产业园</w:t>
      </w:r>
      <w:r>
        <w:rPr>
          <w:rFonts w:hint="eastAsia" w:ascii="Times New Roman" w:hAnsi="Times New Roman" w:cs="Times New Roman"/>
          <w:color w:val="auto"/>
          <w:sz w:val="32"/>
          <w:szCs w:val="32"/>
          <w:highlight w:val="none"/>
          <w:lang w:eastAsia="zh-CN"/>
        </w:rPr>
        <w:t>建设</w:t>
      </w:r>
      <w:r>
        <w:rPr>
          <w:rFonts w:hint="default" w:ascii="Times New Roman" w:hAnsi="Times New Roman" w:eastAsia="仿宋_GB2312" w:cs="Times New Roman"/>
          <w:color w:val="auto"/>
          <w:sz w:val="32"/>
          <w:szCs w:val="32"/>
          <w:highlight w:val="none"/>
        </w:rPr>
        <w:t>任务。</w:t>
      </w:r>
    </w:p>
    <w:p w14:paraId="672A5B39">
      <w:pPr>
        <w:pStyle w:val="4"/>
        <w:pageBreakBefore w:val="0"/>
        <w:kinsoku/>
        <w:overflowPunct/>
        <w:topLinePunct w:val="0"/>
        <w:autoSpaceDE/>
        <w:autoSpaceDN/>
        <w:bidi w:val="0"/>
        <w:adjustRightInd/>
        <w:snapToGrid/>
        <w:spacing w:line="240" w:lineRule="auto"/>
        <w:rPr>
          <w:rFonts w:hint="default" w:ascii="Times New Roman" w:hAnsi="Times New Roman" w:cs="仿宋_GB2312"/>
          <w:color w:val="auto"/>
          <w:sz w:val="32"/>
          <w:szCs w:val="32"/>
          <w:highlight w:val="none"/>
          <w:lang w:val="en-US" w:eastAsia="zh-CN"/>
        </w:rPr>
      </w:pPr>
      <w:r>
        <w:rPr>
          <w:rFonts w:hint="default" w:ascii="Times New Roman" w:hAnsi="Times New Roman" w:cs="仿宋_GB2312"/>
          <w:color w:val="auto"/>
          <w:sz w:val="32"/>
          <w:szCs w:val="32"/>
          <w:highlight w:val="none"/>
          <w:lang w:val="en-US" w:eastAsia="zh-CN"/>
        </w:rPr>
        <w:t>3.2026年</w:t>
      </w:r>
      <w:r>
        <w:rPr>
          <w:rFonts w:hint="eastAsia" w:ascii="Times New Roman" w:hAnsi="Times New Roman" w:cs="仿宋_GB2312"/>
          <w:color w:val="auto"/>
          <w:sz w:val="32"/>
          <w:szCs w:val="32"/>
          <w:highlight w:val="none"/>
          <w:lang w:val="en-US" w:eastAsia="zh-CN"/>
        </w:rPr>
        <w:t>建设</w:t>
      </w:r>
      <w:r>
        <w:rPr>
          <w:rFonts w:hint="default" w:ascii="Times New Roman" w:hAnsi="Times New Roman" w:cs="仿宋_GB2312"/>
          <w:color w:val="auto"/>
          <w:sz w:val="32"/>
          <w:szCs w:val="32"/>
          <w:highlight w:val="none"/>
          <w:lang w:val="en-US" w:eastAsia="zh-CN"/>
        </w:rPr>
        <w:t>成果巩固年</w:t>
      </w:r>
    </w:p>
    <w:p w14:paraId="328CC965">
      <w:pPr>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做好产业园经验总结，及时汇总产业园经典案例，继续</w:t>
      </w:r>
      <w:r>
        <w:rPr>
          <w:rFonts w:hint="eastAsia" w:ascii="Times New Roman" w:hAnsi="Times New Roman" w:cs="Times New Roman"/>
          <w:color w:val="auto"/>
          <w:sz w:val="32"/>
          <w:szCs w:val="32"/>
          <w:highlight w:val="none"/>
          <w:lang w:eastAsia="zh-CN"/>
        </w:rPr>
        <w:t>做好</w:t>
      </w:r>
      <w:r>
        <w:rPr>
          <w:rFonts w:hint="default" w:ascii="Times New Roman" w:hAnsi="Times New Roman" w:eastAsia="仿宋_GB2312" w:cs="Times New Roman"/>
          <w:color w:val="auto"/>
          <w:sz w:val="32"/>
          <w:szCs w:val="32"/>
          <w:highlight w:val="none"/>
        </w:rPr>
        <w:t>产业园的宣传工作，巩固产业园的</w:t>
      </w:r>
      <w:r>
        <w:rPr>
          <w:rFonts w:hint="eastAsia" w:ascii="Times New Roman" w:hAnsi="Times New Roman" w:cs="Times New Roman"/>
          <w:color w:val="auto"/>
          <w:sz w:val="32"/>
          <w:szCs w:val="32"/>
          <w:highlight w:val="none"/>
          <w:lang w:eastAsia="zh-CN"/>
        </w:rPr>
        <w:t>建设</w:t>
      </w:r>
      <w:r>
        <w:rPr>
          <w:rFonts w:hint="default" w:ascii="Times New Roman" w:hAnsi="Times New Roman" w:eastAsia="仿宋_GB2312" w:cs="Times New Roman"/>
          <w:color w:val="auto"/>
          <w:sz w:val="32"/>
          <w:szCs w:val="32"/>
          <w:highlight w:val="none"/>
        </w:rPr>
        <w:t>成功，将园区建成全国规模化最大狮头鹅绿色发展三产融合区。</w:t>
      </w:r>
    </w:p>
    <w:bookmarkEnd w:id="94"/>
    <w:bookmarkEnd w:id="102"/>
    <w:bookmarkEnd w:id="103"/>
    <w:bookmarkEnd w:id="104"/>
    <w:bookmarkEnd w:id="105"/>
    <w:p w14:paraId="1C092092">
      <w:pPr>
        <w:pStyle w:val="3"/>
        <w:keepNext/>
        <w:pageBreakBefore w:val="0"/>
        <w:spacing w:before="0" w:beforeLines="-2147483648" w:after="0" w:afterLines="-2147483648" w:line="360" w:lineRule="auto"/>
        <w:ind w:firstLine="640" w:firstLineChars="200"/>
        <w:jc w:val="both"/>
        <w:rPr>
          <w:rFonts w:hint="eastAsia" w:ascii="Times New Roman" w:hAnsi="Times New Roman" w:cs="Times New Roman"/>
          <w:b w:val="0"/>
          <w:bCs/>
          <w:color w:val="auto"/>
          <w:szCs w:val="44"/>
          <w:highlight w:val="none"/>
          <w:lang w:val="en-US" w:eastAsia="zh-CN"/>
        </w:rPr>
      </w:pPr>
      <w:bookmarkStart w:id="106" w:name="_Toc24370"/>
      <w:r>
        <w:rPr>
          <w:rFonts w:hint="eastAsia" w:ascii="Times New Roman" w:hAnsi="Times New Roman" w:cs="Times New Roman"/>
          <w:b w:val="0"/>
          <w:bCs/>
          <w:color w:val="auto"/>
          <w:szCs w:val="44"/>
          <w:highlight w:val="none"/>
          <w:lang w:val="en-US" w:eastAsia="zh-CN"/>
        </w:rPr>
        <w:t>四、功能布局</w:t>
      </w:r>
      <w:bookmarkEnd w:id="106"/>
    </w:p>
    <w:p w14:paraId="2E9C02B2">
      <w:pPr>
        <w:pageBreakBefore w:val="0"/>
        <w:kinsoku/>
        <w:overflowPunct/>
        <w:topLinePunct w:val="0"/>
        <w:autoSpaceDE/>
        <w:autoSpaceDN/>
        <w:bidi w:val="0"/>
        <w:adjustRightInd/>
        <w:snapToGrid/>
        <w:spacing w:line="590" w:lineRule="exact"/>
        <w:ind w:firstLine="643"/>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按照全区城乡总体规划与土地利用规划等空间规划要求，遵循全区经济社会发展</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十四五</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规划纲要的定位指导，满足农业农村</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十四五</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规划的发展要求，与农林牧渔、水利、工业、林业、旅游、物流等专项规划相衔接，根据产业园所在镇街的区位条件、环境容量与资源承载力，</w:t>
      </w:r>
      <w:r>
        <w:rPr>
          <w:rFonts w:hint="default" w:ascii="Times New Roman" w:hAnsi="Times New Roman" w:eastAsia="仿宋_GB2312" w:cs="Times New Roman"/>
          <w:b/>
          <w:bCs/>
          <w:color w:val="auto"/>
          <w:sz w:val="32"/>
          <w:highlight w:val="none"/>
        </w:rPr>
        <w:t>确定</w:t>
      </w:r>
      <w:r>
        <w:rPr>
          <w:rFonts w:hint="eastAsia" w:ascii="Times New Roman" w:hAnsi="Times New Roman" w:cs="Times New Roman"/>
          <w:b/>
          <w:bCs/>
          <w:color w:val="auto"/>
          <w:sz w:val="32"/>
          <w:highlight w:val="none"/>
          <w:lang w:eastAsia="zh-CN"/>
        </w:rPr>
        <w:t>“</w:t>
      </w:r>
      <w:r>
        <w:rPr>
          <w:rFonts w:hint="default" w:ascii="Times New Roman" w:hAnsi="Times New Roman" w:eastAsia="仿宋_GB2312" w:cs="Times New Roman"/>
          <w:b/>
          <w:bCs/>
          <w:color w:val="auto"/>
          <w:sz w:val="32"/>
          <w:highlight w:val="none"/>
        </w:rPr>
        <w:t>一轴牵引、</w:t>
      </w:r>
      <w:r>
        <w:rPr>
          <w:rFonts w:hint="eastAsia" w:ascii="Times New Roman" w:hAnsi="Times New Roman" w:cs="Times New Roman"/>
          <w:b/>
          <w:bCs/>
          <w:color w:val="auto"/>
          <w:sz w:val="32"/>
          <w:highlight w:val="none"/>
          <w:lang w:val="en-US" w:eastAsia="zh-CN"/>
        </w:rPr>
        <w:t>三核</w:t>
      </w:r>
      <w:r>
        <w:rPr>
          <w:rFonts w:hint="default" w:ascii="Times New Roman" w:hAnsi="Times New Roman" w:eastAsia="仿宋_GB2312" w:cs="Times New Roman"/>
          <w:b/>
          <w:bCs/>
          <w:color w:val="auto"/>
          <w:sz w:val="32"/>
          <w:highlight w:val="none"/>
        </w:rPr>
        <w:t>驱动、</w:t>
      </w:r>
      <w:r>
        <w:rPr>
          <w:rFonts w:hint="eastAsia" w:ascii="Times New Roman" w:hAnsi="Times New Roman" w:cs="Times New Roman"/>
          <w:b/>
          <w:bCs/>
          <w:color w:val="auto"/>
          <w:sz w:val="32"/>
          <w:highlight w:val="none"/>
          <w:lang w:val="en-US" w:eastAsia="zh-CN"/>
        </w:rPr>
        <w:t>三区</w:t>
      </w:r>
      <w:r>
        <w:rPr>
          <w:rFonts w:hint="default" w:ascii="Times New Roman" w:hAnsi="Times New Roman" w:eastAsia="仿宋_GB2312" w:cs="Times New Roman"/>
          <w:b/>
          <w:bCs/>
          <w:color w:val="auto"/>
          <w:sz w:val="32"/>
          <w:highlight w:val="none"/>
        </w:rPr>
        <w:t>支撑</w:t>
      </w:r>
      <w:r>
        <w:rPr>
          <w:rFonts w:hint="eastAsia" w:ascii="Times New Roman" w:hAnsi="Times New Roman" w:cs="Times New Roman"/>
          <w:b/>
          <w:bCs/>
          <w:color w:val="auto"/>
          <w:sz w:val="32"/>
          <w:highlight w:val="none"/>
          <w:lang w:eastAsia="zh-CN"/>
        </w:rPr>
        <w:t>”</w:t>
      </w:r>
      <w:r>
        <w:rPr>
          <w:rFonts w:hint="default" w:ascii="Times New Roman" w:hAnsi="Times New Roman" w:eastAsia="仿宋_GB2312" w:cs="Times New Roman"/>
          <w:b/>
          <w:bCs/>
          <w:color w:val="auto"/>
          <w:sz w:val="32"/>
          <w:highlight w:val="none"/>
        </w:rPr>
        <w:t>的空间布局方案</w:t>
      </w:r>
      <w:r>
        <w:rPr>
          <w:rFonts w:hint="default" w:ascii="Times New Roman" w:hAnsi="Times New Roman" w:eastAsia="仿宋_GB2312" w:cs="Times New Roman"/>
          <w:color w:val="auto"/>
          <w:sz w:val="32"/>
          <w:highlight w:val="none"/>
        </w:rPr>
        <w:t>，统筹布局畜禽种业及下游关联产业的生产、加工、流通、旅游、文化、研发、服务等功能板块。</w:t>
      </w:r>
    </w:p>
    <w:p w14:paraId="3FA41C3F">
      <w:pPr>
        <w:spacing w:line="240" w:lineRule="auto"/>
        <w:ind w:firstLine="0" w:firstLineChars="0"/>
        <w:rPr>
          <w:rFonts w:hint="eastAsia" w:ascii="Times New Roman" w:hAnsi="Times New Roman" w:eastAsia="仿宋_GB2312"/>
          <w:color w:val="auto"/>
          <w:highlight w:val="none"/>
          <w:lang w:eastAsia="zh-CN"/>
        </w:rPr>
      </w:pPr>
      <w:r>
        <w:rPr>
          <w:rFonts w:hint="eastAsia" w:ascii="Times New Roman" w:hAnsi="Times New Roman" w:eastAsia="仿宋_GB2312"/>
          <w:color w:val="auto"/>
          <w:highlight w:val="none"/>
          <w:lang w:eastAsia="zh-CN"/>
        </w:rPr>
        <w:drawing>
          <wp:inline distT="0" distB="0" distL="114300" distR="114300">
            <wp:extent cx="5262245" cy="6756400"/>
            <wp:effectExtent l="0" t="0" r="14605" b="6350"/>
            <wp:docPr id="2" name="图片 2" descr="功能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功能布局图"/>
                    <pic:cNvPicPr>
                      <a:picLocks noChangeAspect="1"/>
                    </pic:cNvPicPr>
                  </pic:nvPicPr>
                  <pic:blipFill>
                    <a:blip r:embed="rId12"/>
                    <a:stretch>
                      <a:fillRect/>
                    </a:stretch>
                  </pic:blipFill>
                  <pic:spPr>
                    <a:xfrm>
                      <a:off x="0" y="0"/>
                      <a:ext cx="5262245" cy="6756400"/>
                    </a:xfrm>
                    <a:prstGeom prst="rect">
                      <a:avLst/>
                    </a:prstGeom>
                  </pic:spPr>
                </pic:pic>
              </a:graphicData>
            </a:graphic>
          </wp:inline>
        </w:drawing>
      </w:r>
    </w:p>
    <w:p w14:paraId="5BDDF8A3">
      <w:pPr>
        <w:pageBreakBefore w:val="0"/>
        <w:kinsoku/>
        <w:overflowPunct/>
        <w:topLinePunct w:val="0"/>
        <w:autoSpaceDE/>
        <w:autoSpaceDN/>
        <w:bidi w:val="0"/>
        <w:adjustRightInd/>
        <w:snapToGrid/>
        <w:spacing w:line="590" w:lineRule="exact"/>
        <w:ind w:left="0" w:leftChars="0" w:firstLine="0" w:firstLineChars="0"/>
        <w:jc w:val="center"/>
        <w:rPr>
          <w:rFonts w:hint="default" w:ascii="Times New Roman" w:hAnsi="Times New Roman" w:eastAsia="仿宋_GB2312" w:cs="Times New Roman"/>
          <w:color w:val="auto"/>
          <w:kern w:val="2"/>
          <w:sz w:val="28"/>
          <w:szCs w:val="28"/>
          <w:highlight w:val="none"/>
          <w:lang w:val="en-US" w:eastAsia="zh-CN" w:bidi="ar-SA"/>
        </w:rPr>
      </w:pPr>
      <w:r>
        <w:rPr>
          <w:rFonts w:hint="default" w:ascii="Times New Roman" w:hAnsi="Times New Roman" w:eastAsia="仿宋_GB2312" w:cs="Times New Roman"/>
          <w:color w:val="auto"/>
          <w:kern w:val="2"/>
          <w:sz w:val="28"/>
          <w:szCs w:val="28"/>
          <w:highlight w:val="none"/>
          <w:lang w:val="en-US" w:eastAsia="zh-CN" w:bidi="ar-SA"/>
        </w:rPr>
        <w:t>产业园功能布局图</w:t>
      </w:r>
    </w:p>
    <w:p w14:paraId="0C4F31E0">
      <w:pPr>
        <w:pStyle w:val="2"/>
        <w:pageBreakBefore w:val="0"/>
        <w:kinsoku/>
        <w:overflowPunct/>
        <w:topLinePunct w:val="0"/>
        <w:autoSpaceDE/>
        <w:autoSpaceDN/>
        <w:bidi w:val="0"/>
        <w:adjustRightInd/>
        <w:snapToGrid/>
        <w:spacing w:line="590" w:lineRule="exact"/>
        <w:ind w:firstLine="643" w:firstLineChars="200"/>
        <w:rPr>
          <w:rFonts w:hint="default" w:ascii="Times New Roman" w:hAnsi="Times New Roman" w:cs="Times New Roman"/>
          <w:color w:val="auto"/>
          <w:highlight w:val="none"/>
        </w:rPr>
      </w:pPr>
      <w:bookmarkStart w:id="107" w:name="_Toc10358"/>
      <w:bookmarkStart w:id="108" w:name="_Toc26877"/>
      <w:bookmarkStart w:id="109" w:name="_Toc24977"/>
      <w:bookmarkStart w:id="110" w:name="_Toc16620"/>
      <w:bookmarkStart w:id="111" w:name="_Toc28518"/>
      <w:bookmarkStart w:id="112" w:name="_Toc1677"/>
      <w:bookmarkStart w:id="113" w:name="_Toc9070"/>
      <w:bookmarkStart w:id="114" w:name="_Toc8049"/>
      <w:bookmarkStart w:id="115" w:name="_Toc28597"/>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一轴</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牵引</w:t>
      </w:r>
      <w:bookmarkEnd w:id="107"/>
      <w:bookmarkEnd w:id="108"/>
      <w:bookmarkEnd w:id="109"/>
      <w:bookmarkEnd w:id="110"/>
      <w:bookmarkEnd w:id="111"/>
      <w:bookmarkEnd w:id="112"/>
      <w:bookmarkEnd w:id="113"/>
      <w:bookmarkEnd w:id="114"/>
      <w:bookmarkEnd w:id="115"/>
    </w:p>
    <w:p w14:paraId="264C8CF1">
      <w:pPr>
        <w:pageBreakBefore w:val="0"/>
        <w:kinsoku/>
        <w:overflowPunct/>
        <w:topLinePunct w:val="0"/>
        <w:autoSpaceDE/>
        <w:autoSpaceDN/>
        <w:bidi w:val="0"/>
        <w:adjustRightInd/>
        <w:snapToGrid/>
        <w:spacing w:line="590" w:lineRule="exact"/>
        <w:ind w:firstLine="643"/>
        <w:rPr>
          <w:rFonts w:hint="default" w:ascii="Times New Roman" w:hAnsi="Times New Roman" w:eastAsia="仿宋_GB2312" w:cs="Times New Roman"/>
          <w:color w:val="auto"/>
          <w:sz w:val="32"/>
          <w:highlight w:val="none"/>
        </w:rPr>
      </w:pPr>
      <w:r>
        <w:rPr>
          <w:rFonts w:hint="default" w:ascii="Times New Roman" w:hAnsi="Times New Roman" w:eastAsia="楷体_GB2312" w:cs="楷体_GB2312"/>
          <w:b/>
          <w:color w:val="auto"/>
          <w:sz w:val="32"/>
          <w:highlight w:val="none"/>
        </w:rPr>
        <w:t>狮头鹅产业融合发展轴。即以</w:t>
      </w:r>
      <w:r>
        <w:rPr>
          <w:rFonts w:hint="eastAsia" w:ascii="Times New Roman" w:hAnsi="Times New Roman" w:eastAsia="楷体_GB2312" w:cs="楷体_GB2312"/>
          <w:b/>
          <w:color w:val="auto"/>
          <w:sz w:val="32"/>
          <w:highlight w:val="none"/>
          <w:lang w:val="en-US" w:eastAsia="zh-CN"/>
        </w:rPr>
        <w:t>228国道、</w:t>
      </w:r>
      <w:r>
        <w:rPr>
          <w:rFonts w:hint="default" w:ascii="Times New Roman" w:hAnsi="Times New Roman" w:eastAsia="楷体_GB2312" w:cs="楷体_GB2312"/>
          <w:b/>
          <w:color w:val="auto"/>
          <w:sz w:val="32"/>
          <w:highlight w:val="none"/>
        </w:rPr>
        <w:t>金鸿公路为产业发展传递轴将狮头鹅养殖区、屠宰加工集聚区、冷链物流区相连接，</w:t>
      </w:r>
      <w:r>
        <w:rPr>
          <w:rFonts w:hint="default" w:ascii="Times New Roman" w:hAnsi="Times New Roman" w:eastAsia="仿宋_GB2312" w:cs="Times New Roman"/>
          <w:color w:val="auto"/>
          <w:sz w:val="32"/>
          <w:highlight w:val="none"/>
        </w:rPr>
        <w:t>打造一批集狮头鹅养殖、屠宰加工、冷链流通、信息传递、交通运输于一体产业融合发展示范区，围绕狮头鹅生产、加工和展示，打造一批农业综合集群，充分发挥农业的集群效应，带动周边乃至粤东地区农业大发展。</w:t>
      </w:r>
    </w:p>
    <w:p w14:paraId="4C1E9A3C">
      <w:pPr>
        <w:pStyle w:val="2"/>
        <w:pageBreakBefore w:val="0"/>
        <w:kinsoku/>
        <w:overflowPunct/>
        <w:topLinePunct w:val="0"/>
        <w:autoSpaceDE/>
        <w:autoSpaceDN/>
        <w:bidi w:val="0"/>
        <w:adjustRightInd/>
        <w:snapToGrid/>
        <w:spacing w:line="590" w:lineRule="exact"/>
        <w:ind w:firstLine="643" w:firstLineChars="200"/>
        <w:rPr>
          <w:rFonts w:hint="default" w:ascii="Times New Roman" w:hAnsi="Times New Roman" w:cs="Times New Roman"/>
          <w:color w:val="auto"/>
          <w:highlight w:val="none"/>
        </w:rPr>
      </w:pPr>
      <w:bookmarkStart w:id="116" w:name="_Toc9225"/>
      <w:bookmarkStart w:id="117" w:name="_Toc18220"/>
      <w:bookmarkStart w:id="118" w:name="_Toc5349"/>
      <w:bookmarkStart w:id="119" w:name="_Toc18101"/>
      <w:bookmarkStart w:id="120" w:name="_Toc20196"/>
      <w:bookmarkStart w:id="121" w:name="_Toc9059"/>
      <w:bookmarkStart w:id="122" w:name="_Toc16335"/>
      <w:bookmarkStart w:id="123" w:name="_Toc9897"/>
      <w:bookmarkStart w:id="124" w:name="_Toc3652"/>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三</w:t>
      </w:r>
      <w:r>
        <w:rPr>
          <w:rFonts w:hint="default" w:ascii="Times New Roman" w:hAnsi="Times New Roman" w:cs="Times New Roman"/>
          <w:color w:val="auto"/>
          <w:highlight w:val="none"/>
        </w:rPr>
        <w:t>核</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驱动</w:t>
      </w:r>
      <w:bookmarkEnd w:id="116"/>
      <w:bookmarkEnd w:id="117"/>
      <w:bookmarkEnd w:id="118"/>
      <w:bookmarkEnd w:id="119"/>
      <w:bookmarkEnd w:id="120"/>
      <w:bookmarkEnd w:id="121"/>
      <w:bookmarkEnd w:id="122"/>
      <w:bookmarkEnd w:id="123"/>
      <w:bookmarkEnd w:id="124"/>
    </w:p>
    <w:p w14:paraId="31EC4A8A">
      <w:pPr>
        <w:pageBreakBefore w:val="0"/>
        <w:kinsoku/>
        <w:overflowPunct/>
        <w:topLinePunct w:val="0"/>
        <w:autoSpaceDE/>
        <w:autoSpaceDN/>
        <w:bidi w:val="0"/>
        <w:adjustRightInd/>
        <w:snapToGrid/>
        <w:spacing w:line="590" w:lineRule="exact"/>
        <w:ind w:firstLine="643"/>
        <w:rPr>
          <w:rFonts w:hint="default" w:ascii="Times New Roman" w:hAnsi="Times New Roman" w:eastAsia="仿宋_GB2312" w:cs="Times New Roman"/>
          <w:color w:val="auto"/>
          <w:sz w:val="32"/>
          <w:highlight w:val="none"/>
        </w:rPr>
      </w:pPr>
      <w:r>
        <w:rPr>
          <w:rFonts w:hint="eastAsia" w:ascii="Times New Roman" w:hAnsi="Times New Roman" w:eastAsia="楷体_GB2312" w:cs="楷体_GB2312"/>
          <w:b/>
          <w:color w:val="auto"/>
          <w:sz w:val="32"/>
          <w:highlight w:val="none"/>
        </w:rPr>
        <w:t>狮头鹅科技创新</w:t>
      </w:r>
      <w:r>
        <w:rPr>
          <w:rFonts w:hint="eastAsia" w:ascii="Times New Roman" w:hAnsi="Times New Roman" w:eastAsia="楷体_GB2312" w:cs="楷体_GB2312"/>
          <w:b/>
          <w:color w:val="auto"/>
          <w:sz w:val="32"/>
          <w:highlight w:val="none"/>
          <w:lang w:val="en-US" w:eastAsia="zh-CN"/>
        </w:rPr>
        <w:t>驱动</w:t>
      </w:r>
      <w:r>
        <w:rPr>
          <w:rFonts w:hint="eastAsia" w:ascii="Times New Roman" w:hAnsi="Times New Roman" w:eastAsia="楷体_GB2312" w:cs="楷体_GB2312"/>
          <w:b/>
          <w:color w:val="auto"/>
          <w:sz w:val="32"/>
          <w:highlight w:val="none"/>
        </w:rPr>
        <w:t>核。</w:t>
      </w:r>
      <w:r>
        <w:rPr>
          <w:rFonts w:hint="default" w:ascii="Times New Roman" w:hAnsi="Times New Roman" w:eastAsia="仿宋_GB2312" w:cs="Times New Roman"/>
          <w:color w:val="auto"/>
          <w:sz w:val="32"/>
          <w:highlight w:val="none"/>
        </w:rPr>
        <w:t>位于凤翔街道，依托汕头市白沙禽畜原种研究所、广东省农科院等科研单位为支撑，进行狮头鹅品种选育、良种繁育推广和资源保护，加速成熟、先进、实用技术成果的应用，大力推动实施省农业农村厅主推品种狮头鹅饲养管理技术，不断提高本地品种的种用价值和商品市场价值，为标准化养殖示范区提供健康、高效的狮头鹅鹅苗。</w:t>
      </w:r>
    </w:p>
    <w:p w14:paraId="5786A46E">
      <w:pPr>
        <w:pageBreakBefore w:val="0"/>
        <w:kinsoku/>
        <w:overflowPunct/>
        <w:topLinePunct w:val="0"/>
        <w:autoSpaceDE/>
        <w:autoSpaceDN/>
        <w:bidi w:val="0"/>
        <w:adjustRightInd/>
        <w:snapToGrid/>
        <w:spacing w:line="590" w:lineRule="exact"/>
        <w:ind w:firstLine="643"/>
        <w:rPr>
          <w:rFonts w:hint="default" w:ascii="Times New Roman" w:hAnsi="Times New Roman" w:eastAsia="仿宋_GB2312" w:cs="Times New Roman"/>
          <w:color w:val="auto"/>
          <w:sz w:val="32"/>
          <w:highlight w:val="none"/>
        </w:rPr>
      </w:pPr>
      <w:r>
        <w:rPr>
          <w:rFonts w:hint="default" w:ascii="Times New Roman" w:hAnsi="Times New Roman" w:eastAsia="楷体_GB2312" w:cs="楷体_GB2312"/>
          <w:b/>
          <w:color w:val="auto"/>
          <w:sz w:val="32"/>
          <w:highlight w:val="none"/>
        </w:rPr>
        <w:t>休闲农业与双创孵化融合发展核。</w:t>
      </w:r>
      <w:r>
        <w:rPr>
          <w:rFonts w:hint="default" w:ascii="Times New Roman" w:hAnsi="Times New Roman" w:eastAsia="仿宋_GB2312" w:cs="Times New Roman"/>
          <w:color w:val="auto"/>
          <w:sz w:val="32"/>
          <w:highlight w:val="none"/>
        </w:rPr>
        <w:t>位于隆都镇，按照农旅深度融合思路，推进现代农业的互联网+、生态+、文化+，开辟农业新业态培育发展的新空间与新领域，示范促进智慧农业、健康农业、休闲农业等新业态发展壮大。重点打造多功能休闲农业示范区，大力推进狮头鹅养殖科普、特色餐饮、卤鹅加工体验等项目建设。依托</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粤菜师傅工程</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，完善创业创新孵化场所，提供创业指导、政策咨询、创业培训、商事代理、电商经营、营销推广等全程创业创新服务。</w:t>
      </w:r>
    </w:p>
    <w:p w14:paraId="2857D80E">
      <w:pPr>
        <w:pageBreakBefore w:val="0"/>
        <w:kinsoku/>
        <w:overflowPunct/>
        <w:topLinePunct w:val="0"/>
        <w:autoSpaceDE/>
        <w:autoSpaceDN/>
        <w:bidi w:val="0"/>
        <w:adjustRightInd/>
        <w:snapToGrid/>
        <w:spacing w:line="590" w:lineRule="exact"/>
        <w:ind w:firstLine="643"/>
        <w:rPr>
          <w:rFonts w:hint="default" w:ascii="Times New Roman" w:hAnsi="Times New Roman" w:eastAsia="楷体_GB2312" w:cs="楷体_GB2312"/>
          <w:b/>
          <w:color w:val="auto"/>
          <w:sz w:val="32"/>
          <w:highlight w:val="none"/>
          <w:lang w:val="en-US" w:eastAsia="zh-CN"/>
        </w:rPr>
      </w:pPr>
      <w:r>
        <w:rPr>
          <w:rFonts w:hint="default" w:ascii="Times New Roman" w:hAnsi="Times New Roman" w:eastAsia="楷体_GB2312" w:cs="楷体_GB2312"/>
          <w:b/>
          <w:color w:val="auto"/>
          <w:sz w:val="32"/>
          <w:highlight w:val="none"/>
          <w:lang w:val="en-US" w:eastAsia="zh-CN"/>
        </w:rPr>
        <w:t>狮头鹅产业融合发展示范核。</w:t>
      </w:r>
      <w:r>
        <w:rPr>
          <w:rFonts w:hint="eastAsia" w:ascii="Times New Roman" w:hAnsi="Times New Roman" w:eastAsia="仿宋_GB2312" w:cs="仿宋_GB2312"/>
          <w:b w:val="0"/>
          <w:bCs/>
          <w:color w:val="auto"/>
          <w:sz w:val="32"/>
          <w:highlight w:val="none"/>
          <w:lang w:val="en-US" w:eastAsia="zh-CN"/>
        </w:rPr>
        <w:t>位于</w:t>
      </w:r>
      <w:r>
        <w:rPr>
          <w:rFonts w:hint="eastAsia" w:ascii="Times New Roman" w:hAnsi="Times New Roman" w:cs="仿宋_GB2312"/>
          <w:b w:val="0"/>
          <w:bCs/>
          <w:color w:val="auto"/>
          <w:sz w:val="32"/>
          <w:highlight w:val="none"/>
          <w:lang w:val="en-US" w:eastAsia="zh-CN"/>
        </w:rPr>
        <w:t>东里镇六合路北侧，依托海润进士洲狮头鹅产业园项目，建设年出栏量超过100万头的狮头鹅生态智慧养殖基地、蛋苗孵育基地、冷链与物流中心、智慧养殖管理中心、检测与研发中心、原料种植与仓储基地、总部管理中心、共享厨房、狮头鹅主题餐厅、文化馆、商店、乐园、营地、电商中心、宴客村、商业街等多种业态，打造集狮头鹅养殖、繁育、科技、流通、销售、休闲旅游于一体的三产融合发展核心示范区。</w:t>
      </w:r>
    </w:p>
    <w:p w14:paraId="66BE9AE4">
      <w:pPr>
        <w:pStyle w:val="2"/>
        <w:pageBreakBefore w:val="0"/>
        <w:kinsoku/>
        <w:overflowPunct/>
        <w:topLinePunct w:val="0"/>
        <w:autoSpaceDE/>
        <w:autoSpaceDN/>
        <w:bidi w:val="0"/>
        <w:adjustRightInd/>
        <w:snapToGrid/>
        <w:spacing w:line="590" w:lineRule="exact"/>
        <w:ind w:firstLine="643" w:firstLineChars="200"/>
        <w:rPr>
          <w:rFonts w:hint="default" w:ascii="Times New Roman" w:hAnsi="Times New Roman" w:cs="Times New Roman"/>
          <w:color w:val="auto"/>
          <w:highlight w:val="none"/>
        </w:rPr>
      </w:pPr>
      <w:bookmarkStart w:id="125" w:name="_Toc11816"/>
      <w:bookmarkStart w:id="126" w:name="_Toc21295"/>
      <w:bookmarkStart w:id="127" w:name="_Toc1093"/>
      <w:bookmarkStart w:id="128" w:name="_Toc19651"/>
      <w:bookmarkStart w:id="129" w:name="_Toc813"/>
      <w:bookmarkStart w:id="130" w:name="_Toc32163"/>
      <w:bookmarkStart w:id="131" w:name="_Toc31237"/>
      <w:bookmarkStart w:id="132" w:name="_Toc21859"/>
      <w:bookmarkStart w:id="133" w:name="_Toc20948"/>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三区</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支撑</w:t>
      </w:r>
      <w:bookmarkEnd w:id="125"/>
      <w:bookmarkEnd w:id="126"/>
      <w:bookmarkEnd w:id="127"/>
      <w:bookmarkEnd w:id="128"/>
      <w:bookmarkEnd w:id="129"/>
      <w:bookmarkEnd w:id="130"/>
      <w:bookmarkEnd w:id="131"/>
      <w:bookmarkEnd w:id="132"/>
      <w:bookmarkEnd w:id="133"/>
    </w:p>
    <w:p w14:paraId="02A06FD7">
      <w:pPr>
        <w:pageBreakBefore w:val="0"/>
        <w:kinsoku/>
        <w:overflowPunct/>
        <w:topLinePunct w:val="0"/>
        <w:autoSpaceDE/>
        <w:autoSpaceDN/>
        <w:bidi w:val="0"/>
        <w:adjustRightInd/>
        <w:snapToGrid/>
        <w:spacing w:line="590" w:lineRule="exact"/>
        <w:ind w:firstLine="643"/>
        <w:rPr>
          <w:rFonts w:hint="default" w:ascii="Times New Roman" w:hAnsi="Times New Roman" w:eastAsia="仿宋_GB2312" w:cs="Times New Roman"/>
          <w:color w:val="auto"/>
          <w:sz w:val="32"/>
          <w:highlight w:val="none"/>
        </w:rPr>
      </w:pPr>
      <w:r>
        <w:rPr>
          <w:rFonts w:hint="default" w:ascii="Times New Roman" w:hAnsi="Times New Roman" w:eastAsia="楷体_GB2312" w:cs="楷体_GB2312"/>
          <w:b/>
          <w:color w:val="auto"/>
          <w:sz w:val="32"/>
          <w:highlight w:val="none"/>
        </w:rPr>
        <w:t>狮头鹅标准化养殖示范区。</w:t>
      </w:r>
      <w:r>
        <w:rPr>
          <w:rFonts w:hint="default" w:ascii="Times New Roman" w:hAnsi="Times New Roman" w:eastAsia="仿宋_GB2312" w:cs="Times New Roman"/>
          <w:color w:val="auto"/>
          <w:sz w:val="32"/>
          <w:highlight w:val="none"/>
        </w:rPr>
        <w:t>包括隆都镇、莲华镇、溪南镇、</w:t>
      </w:r>
      <w:r>
        <w:rPr>
          <w:rFonts w:hint="eastAsia" w:ascii="Times New Roman" w:hAnsi="Times New Roman" w:cs="Times New Roman"/>
          <w:color w:val="auto"/>
          <w:sz w:val="32"/>
          <w:highlight w:val="none"/>
          <w:lang w:val="en-US" w:eastAsia="zh-CN"/>
        </w:rPr>
        <w:t>莲下镇、东里镇</w:t>
      </w:r>
      <w:r>
        <w:rPr>
          <w:rFonts w:hint="default" w:ascii="Times New Roman" w:hAnsi="Times New Roman" w:eastAsia="仿宋_GB2312" w:cs="Times New Roman"/>
          <w:color w:val="auto"/>
          <w:sz w:val="32"/>
          <w:highlight w:val="none"/>
        </w:rPr>
        <w:t>。从饲养环境、饲料及饲料添加剂的使用、兽药使用、动物防疫、饲养管理等多个环节把控建设标准化养殖示范区，</w:t>
      </w:r>
      <w:r>
        <w:rPr>
          <w:rFonts w:hint="eastAsia" w:ascii="Times New Roman" w:hAnsi="Times New Roman" w:cs="Times New Roman"/>
          <w:color w:val="auto"/>
          <w:sz w:val="32"/>
          <w:highlight w:val="none"/>
          <w:lang w:eastAsia="zh-CN"/>
        </w:rPr>
        <w:t>制定</w:t>
      </w:r>
      <w:r>
        <w:rPr>
          <w:rFonts w:hint="default" w:ascii="Times New Roman" w:hAnsi="Times New Roman" w:eastAsia="仿宋_GB2312" w:cs="Times New Roman"/>
          <w:color w:val="auto"/>
          <w:sz w:val="32"/>
          <w:highlight w:val="none"/>
        </w:rPr>
        <w:t>完善的种鹅饲养管理及投入品管理措施，推动狮头鹅产业标准化、规模化、现代化、生态化示范基地发展，为全国提供高效、绿色的狮头鹅标准化养殖示范。</w:t>
      </w:r>
    </w:p>
    <w:p w14:paraId="3196C066">
      <w:pPr>
        <w:pageBreakBefore w:val="0"/>
        <w:kinsoku/>
        <w:overflowPunct/>
        <w:topLinePunct w:val="0"/>
        <w:autoSpaceDE/>
        <w:autoSpaceDN/>
        <w:bidi w:val="0"/>
        <w:adjustRightInd/>
        <w:snapToGrid/>
        <w:spacing w:line="590" w:lineRule="exact"/>
        <w:ind w:firstLine="643"/>
        <w:rPr>
          <w:rFonts w:hint="default" w:ascii="Times New Roman" w:hAnsi="Times New Roman" w:eastAsia="仿宋_GB2312" w:cs="Times New Roman"/>
          <w:b/>
          <w:color w:val="auto"/>
          <w:sz w:val="32"/>
          <w:highlight w:val="none"/>
        </w:rPr>
      </w:pPr>
      <w:r>
        <w:rPr>
          <w:rFonts w:hint="default" w:ascii="Times New Roman" w:hAnsi="Times New Roman" w:eastAsia="楷体_GB2312" w:cs="楷体_GB2312"/>
          <w:b/>
          <w:color w:val="auto"/>
          <w:sz w:val="32"/>
          <w:highlight w:val="none"/>
        </w:rPr>
        <w:t>狮头鹅屠宰加工示范区。</w:t>
      </w:r>
      <w:r>
        <w:rPr>
          <w:rFonts w:hint="default" w:ascii="Times New Roman" w:hAnsi="Times New Roman" w:eastAsia="仿宋_GB2312" w:cs="Times New Roman"/>
          <w:color w:val="auto"/>
          <w:sz w:val="32"/>
          <w:highlight w:val="none"/>
        </w:rPr>
        <w:t>位于盐鸿镇，进一步完善狮头鹅屠宰加工、肉制品精深加工</w:t>
      </w:r>
      <w:r>
        <w:rPr>
          <w:rFonts w:hint="eastAsia" w:ascii="Times New Roman" w:hAnsi="Times New Roman" w:cs="Times New Roman"/>
          <w:color w:val="auto"/>
          <w:sz w:val="32"/>
          <w:highlight w:val="none"/>
          <w:lang w:eastAsia="zh-CN"/>
        </w:rPr>
        <w:t>、农</w:t>
      </w:r>
      <w:r>
        <w:rPr>
          <w:rFonts w:hint="default" w:ascii="Times New Roman" w:hAnsi="Times New Roman" w:eastAsia="仿宋_GB2312" w:cs="Times New Roman"/>
          <w:color w:val="auto"/>
          <w:sz w:val="32"/>
          <w:highlight w:val="none"/>
        </w:rPr>
        <w:t>副产品综合利用产业链，重点依托广东远东国兰股份有限公司（广东海润现代农业发展有限公司）打造集屠宰分割、精深加工、</w:t>
      </w:r>
      <w:r>
        <w:rPr>
          <w:rFonts w:hint="eastAsia" w:ascii="Times New Roman" w:hAnsi="Times New Roman" w:cs="Times New Roman"/>
          <w:color w:val="auto"/>
          <w:sz w:val="32"/>
          <w:highlight w:val="none"/>
          <w:lang w:eastAsia="zh-CN"/>
        </w:rPr>
        <w:t>仓储</w:t>
      </w:r>
      <w:r>
        <w:rPr>
          <w:rFonts w:hint="default" w:ascii="Times New Roman" w:hAnsi="Times New Roman" w:eastAsia="仿宋_GB2312" w:cs="Times New Roman"/>
          <w:color w:val="auto"/>
          <w:sz w:val="32"/>
          <w:highlight w:val="none"/>
        </w:rPr>
        <w:t>包装、展示展销等于一体的澄海狮头鹅屠宰加工集约化生产中心，扩大生产能力以适应社会发展的需求情况。全面开展产业链质量体系认证，建立完善的全程食品安全可追溯质量控制体系，保障肉类食品安全、生产安全，增强国际竞争力。</w:t>
      </w:r>
    </w:p>
    <w:p w14:paraId="77B79C38">
      <w:pPr>
        <w:pageBreakBefore w:val="0"/>
        <w:kinsoku/>
        <w:overflowPunct/>
        <w:topLinePunct w:val="0"/>
        <w:autoSpaceDE/>
        <w:autoSpaceDN/>
        <w:bidi w:val="0"/>
        <w:adjustRightInd/>
        <w:snapToGrid/>
        <w:spacing w:line="590" w:lineRule="exact"/>
        <w:ind w:firstLine="643"/>
        <w:rPr>
          <w:rFonts w:hint="default" w:ascii="Times New Roman" w:hAnsi="Times New Roman" w:eastAsia="仿宋_GB2312" w:cs="Times New Roman"/>
          <w:color w:val="auto"/>
          <w:sz w:val="32"/>
          <w:highlight w:val="none"/>
        </w:rPr>
      </w:pPr>
      <w:r>
        <w:rPr>
          <w:rFonts w:hint="default" w:ascii="Times New Roman" w:hAnsi="Times New Roman" w:eastAsia="楷体_GB2312" w:cs="楷体_GB2312"/>
          <w:b/>
          <w:color w:val="auto"/>
          <w:sz w:val="32"/>
          <w:highlight w:val="none"/>
        </w:rPr>
        <w:t>狮头鹅</w:t>
      </w:r>
      <w:r>
        <w:rPr>
          <w:rFonts w:hint="eastAsia" w:ascii="Times New Roman" w:hAnsi="Times New Roman" w:eastAsia="楷体_GB2312" w:cs="楷体_GB2312"/>
          <w:b/>
          <w:color w:val="auto"/>
          <w:sz w:val="32"/>
          <w:highlight w:val="none"/>
          <w:lang w:val="en-US" w:eastAsia="zh-CN"/>
        </w:rPr>
        <w:t>仓储</w:t>
      </w:r>
      <w:r>
        <w:rPr>
          <w:rFonts w:hint="default" w:ascii="Times New Roman" w:hAnsi="Times New Roman" w:eastAsia="楷体_GB2312" w:cs="楷体_GB2312"/>
          <w:b/>
          <w:color w:val="auto"/>
          <w:sz w:val="32"/>
          <w:highlight w:val="none"/>
        </w:rPr>
        <w:t>冷链集成区。</w:t>
      </w:r>
      <w:r>
        <w:rPr>
          <w:rFonts w:hint="default" w:ascii="Times New Roman" w:hAnsi="Times New Roman" w:eastAsia="仿宋_GB2312" w:cs="Times New Roman"/>
          <w:color w:val="auto"/>
          <w:sz w:val="32"/>
          <w:highlight w:val="none"/>
        </w:rPr>
        <w:t>位于</w:t>
      </w:r>
      <w:r>
        <w:rPr>
          <w:rFonts w:hint="eastAsia" w:ascii="Times New Roman" w:hAnsi="Times New Roman" w:cs="Times New Roman"/>
          <w:color w:val="auto"/>
          <w:sz w:val="32"/>
          <w:highlight w:val="none"/>
          <w:lang w:val="en-US" w:eastAsia="zh-CN"/>
        </w:rPr>
        <w:t>莲上镇</w:t>
      </w:r>
      <w:r>
        <w:rPr>
          <w:rFonts w:hint="default" w:ascii="Times New Roman" w:hAnsi="Times New Roman" w:eastAsia="仿宋_GB2312" w:cs="Times New Roman"/>
          <w:color w:val="auto"/>
          <w:sz w:val="32"/>
          <w:highlight w:val="none"/>
        </w:rPr>
        <w:t>，为进一步完善狮头鹅活鲜储运体系，重点推进狮头鹅冷链物流与屠宰加工产业融合，配套建设狮头鹅冷链物流中心，包括冷冻库、冷链配送车、仓库卸货平台、冷链物流、销售中心等，将加工、流通、展销等环节进行有机结合，推动产业集群的形成。</w:t>
      </w:r>
      <w:bookmarkStart w:id="134" w:name="_Toc8554"/>
      <w:bookmarkStart w:id="135" w:name="_Toc6157"/>
      <w:bookmarkStart w:id="136" w:name="_Toc30283"/>
    </w:p>
    <w:p w14:paraId="50B27BBA">
      <w:pPr>
        <w:pStyle w:val="3"/>
        <w:keepNext/>
        <w:pageBreakBefore w:val="0"/>
        <w:spacing w:before="0" w:beforeLines="-2147483648" w:after="0" w:afterLines="-2147483648" w:line="360" w:lineRule="auto"/>
        <w:ind w:firstLine="640" w:firstLineChars="200"/>
        <w:jc w:val="both"/>
        <w:rPr>
          <w:rFonts w:hint="eastAsia" w:ascii="Times New Roman" w:hAnsi="Times New Roman" w:cs="Times New Roman"/>
          <w:b w:val="0"/>
          <w:bCs/>
          <w:color w:val="auto"/>
          <w:szCs w:val="44"/>
          <w:highlight w:val="none"/>
          <w:lang w:val="en-US" w:eastAsia="zh-CN"/>
        </w:rPr>
      </w:pPr>
      <w:bookmarkStart w:id="137" w:name="_Toc13932"/>
      <w:bookmarkStart w:id="138" w:name="_Toc4926"/>
      <w:bookmarkStart w:id="139" w:name="_Toc8758"/>
      <w:bookmarkStart w:id="140" w:name="_Toc8529"/>
      <w:r>
        <w:rPr>
          <w:rFonts w:hint="eastAsia" w:ascii="Times New Roman" w:hAnsi="Times New Roman" w:cs="Times New Roman"/>
          <w:b w:val="0"/>
          <w:bCs/>
          <w:color w:val="auto"/>
          <w:szCs w:val="44"/>
          <w:highlight w:val="none"/>
          <w:lang w:val="en-US" w:eastAsia="zh-CN"/>
        </w:rPr>
        <w:t>五、</w:t>
      </w:r>
      <w:bookmarkEnd w:id="134"/>
      <w:bookmarkEnd w:id="135"/>
      <w:bookmarkEnd w:id="136"/>
      <w:bookmarkEnd w:id="137"/>
      <w:bookmarkEnd w:id="138"/>
      <w:r>
        <w:rPr>
          <w:rFonts w:hint="eastAsia" w:ascii="Times New Roman" w:hAnsi="Times New Roman" w:cs="Times New Roman"/>
          <w:b w:val="0"/>
          <w:bCs/>
          <w:color w:val="auto"/>
          <w:szCs w:val="44"/>
          <w:highlight w:val="none"/>
          <w:lang w:val="en-US" w:eastAsia="zh-CN"/>
        </w:rPr>
        <w:t>建设任务</w:t>
      </w:r>
      <w:bookmarkEnd w:id="139"/>
      <w:bookmarkEnd w:id="140"/>
    </w:p>
    <w:p w14:paraId="0A6E86F4">
      <w:pPr>
        <w:pageBreakBefore w:val="0"/>
        <w:kinsoku/>
        <w:overflowPunct/>
        <w:topLinePunct w:val="0"/>
        <w:autoSpaceDE/>
        <w:autoSpaceDN/>
        <w:bidi w:val="0"/>
        <w:adjustRightInd/>
        <w:snapToGrid/>
        <w:spacing w:line="590" w:lineRule="exact"/>
        <w:ind w:firstLine="640" w:firstLineChars="200"/>
        <w:rPr>
          <w:rFonts w:hint="default" w:ascii="Times New Roman" w:hAnsi="Times New Roman" w:eastAsia="仿宋_GB2312"/>
          <w:color w:val="auto"/>
          <w:highlight w:val="none"/>
          <w:lang w:val="en-US" w:eastAsia="zh-CN"/>
        </w:rPr>
      </w:pPr>
      <w:r>
        <w:rPr>
          <w:rFonts w:hint="default" w:ascii="Times New Roman" w:hAnsi="Times New Roman" w:eastAsia="仿宋_GB2312" w:cs="Times New Roman"/>
          <w:color w:val="auto"/>
          <w:sz w:val="32"/>
          <w:highlight w:val="none"/>
        </w:rPr>
        <w:t>按照</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强化中心定位、重构产业结构、培育龙头企业、扶持种质资源、打造知名品牌</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的发展思路，</w:t>
      </w:r>
      <w:r>
        <w:rPr>
          <w:rFonts w:hint="eastAsia" w:ascii="Times New Roman" w:hAnsi="Times New Roman" w:cs="Times New Roman"/>
          <w:color w:val="auto"/>
          <w:sz w:val="32"/>
          <w:highlight w:val="none"/>
          <w:lang w:val="en-US" w:eastAsia="zh-CN"/>
        </w:rPr>
        <w:t>根据国家现代农业产业园建设要求，确定</w:t>
      </w:r>
      <w:r>
        <w:rPr>
          <w:rFonts w:hint="eastAsia" w:ascii="Times New Roman" w:hAnsi="Times New Roman"/>
          <w:b w:val="0"/>
          <w:bCs w:val="0"/>
          <w:color w:val="auto"/>
          <w:highlight w:val="none"/>
          <w:lang w:val="en-US" w:eastAsia="zh-CN"/>
        </w:rPr>
        <w:t>汕头市澄海区振农投资发展有限公司（国资委下属国有企业）为产业园平台企业，</w:t>
      </w:r>
      <w:r>
        <w:rPr>
          <w:rFonts w:hint="eastAsia" w:ascii="Times New Roman" w:hAnsi="Times New Roman" w:cs="Times New Roman"/>
          <w:color w:val="auto"/>
          <w:sz w:val="32"/>
          <w:highlight w:val="none"/>
          <w:lang w:val="en-US" w:eastAsia="zh-CN"/>
        </w:rPr>
        <w:t>围绕产业园建设任务和空间布局，聚焦2024—2026年三年建设期，提出四大工程7个项目。</w:t>
      </w:r>
      <w:r>
        <w:rPr>
          <w:rFonts w:hint="default" w:ascii="Times New Roman" w:hAnsi="Times New Roman" w:eastAsia="仿宋_GB2312" w:cs="Times New Roman"/>
          <w:color w:val="auto"/>
          <w:sz w:val="32"/>
          <w:highlight w:val="none"/>
        </w:rPr>
        <w:t>统筹利用两个资源两个市场，优化发展环境，加快培育</w:t>
      </w:r>
      <w:r>
        <w:rPr>
          <w:rFonts w:hint="eastAsia" w:ascii="Times New Roman" w:hAnsi="Times New Roman" w:cs="Times New Roman"/>
          <w:color w:val="auto"/>
          <w:sz w:val="32"/>
          <w:highlight w:val="none"/>
          <w:lang w:val="en-US" w:eastAsia="zh-CN"/>
        </w:rPr>
        <w:t>产业</w:t>
      </w:r>
      <w:r>
        <w:rPr>
          <w:rFonts w:hint="default" w:ascii="Times New Roman" w:hAnsi="Times New Roman" w:eastAsia="仿宋_GB2312" w:cs="Times New Roman"/>
          <w:color w:val="auto"/>
          <w:sz w:val="32"/>
          <w:highlight w:val="none"/>
        </w:rPr>
        <w:t>龙头企业，</w:t>
      </w:r>
      <w:r>
        <w:rPr>
          <w:rFonts w:hint="eastAsia" w:ascii="Times New Roman" w:hAnsi="Times New Roman" w:cs="Times New Roman"/>
          <w:color w:val="auto"/>
          <w:sz w:val="32"/>
          <w:highlight w:val="none"/>
          <w:lang w:val="en-US" w:eastAsia="zh-CN"/>
        </w:rPr>
        <w:t>高质高量</w:t>
      </w:r>
      <w:r>
        <w:rPr>
          <w:rFonts w:hint="default" w:ascii="Times New Roman" w:hAnsi="Times New Roman" w:eastAsia="仿宋_GB2312" w:cs="Times New Roman"/>
          <w:color w:val="auto"/>
          <w:sz w:val="32"/>
          <w:highlight w:val="none"/>
        </w:rPr>
        <w:t>构建</w:t>
      </w:r>
      <w:r>
        <w:rPr>
          <w:rFonts w:hint="eastAsia" w:ascii="Times New Roman" w:hAnsi="Times New Roman" w:cs="Times New Roman"/>
          <w:color w:val="auto"/>
          <w:sz w:val="32"/>
          <w:highlight w:val="none"/>
          <w:lang w:val="en-US" w:eastAsia="zh-CN"/>
        </w:rPr>
        <w:t>澄海狮头鹅</w:t>
      </w:r>
      <w:r>
        <w:rPr>
          <w:rFonts w:hint="default" w:ascii="Times New Roman" w:hAnsi="Times New Roman" w:eastAsia="仿宋_GB2312" w:cs="Times New Roman"/>
          <w:color w:val="auto"/>
          <w:sz w:val="32"/>
          <w:highlight w:val="none"/>
        </w:rPr>
        <w:t>全产业链</w:t>
      </w:r>
      <w:r>
        <w:rPr>
          <w:rFonts w:hint="eastAsia" w:ascii="Times New Roman" w:hAnsi="Times New Roman" w:cs="Times New Roman"/>
          <w:color w:val="auto"/>
          <w:sz w:val="32"/>
          <w:highlight w:val="none"/>
          <w:lang w:val="en-US" w:eastAsia="zh-CN"/>
        </w:rPr>
        <w:t>发展新</w:t>
      </w:r>
      <w:r>
        <w:rPr>
          <w:rFonts w:hint="default" w:ascii="Times New Roman" w:hAnsi="Times New Roman" w:eastAsia="仿宋_GB2312" w:cs="Times New Roman"/>
          <w:color w:val="auto"/>
          <w:sz w:val="32"/>
          <w:highlight w:val="none"/>
        </w:rPr>
        <w:t>格局</w:t>
      </w:r>
      <w:r>
        <w:rPr>
          <w:rFonts w:hint="eastAsia" w:ascii="Times New Roman" w:hAnsi="Times New Roman" w:cs="Times New Roman"/>
          <w:color w:val="auto"/>
          <w:sz w:val="32"/>
          <w:highlight w:val="none"/>
          <w:lang w:eastAsia="zh-CN"/>
        </w:rPr>
        <w:t>。</w:t>
      </w:r>
    </w:p>
    <w:p w14:paraId="6F738D04">
      <w:pPr>
        <w:pStyle w:val="4"/>
        <w:keepNext w:val="0"/>
        <w:keepLines/>
        <w:pageBreakBefore w:val="0"/>
        <w:widowControl/>
        <w:kinsoku/>
        <w:wordWrap/>
        <w:overflowPunct/>
        <w:topLinePunct w:val="0"/>
        <w:autoSpaceDE/>
        <w:autoSpaceDN/>
        <w:bidi w:val="0"/>
        <w:adjustRightInd/>
        <w:snapToGrid/>
        <w:spacing w:line="590" w:lineRule="exact"/>
        <w:ind w:firstLine="640" w:firstLineChars="0"/>
        <w:textAlignment w:val="auto"/>
        <w:outlineLvl w:val="1"/>
        <w:rPr>
          <w:rFonts w:hint="eastAsia" w:ascii="Times New Roman" w:hAnsi="Times New Roman" w:eastAsia="楷体_GB2312" w:cs="楷体_GB2312"/>
          <w:b/>
          <w:bCs w:val="0"/>
          <w:color w:val="auto"/>
          <w:highlight w:val="none"/>
          <w:lang w:val="en-US" w:eastAsia="zh-CN"/>
        </w:rPr>
      </w:pPr>
      <w:bookmarkStart w:id="141" w:name="_Toc371"/>
      <w:bookmarkStart w:id="142" w:name="_Toc30070"/>
      <w:bookmarkStart w:id="143" w:name="_Toc5647"/>
      <w:bookmarkStart w:id="144" w:name="_Toc8378"/>
      <w:bookmarkStart w:id="145" w:name="_Toc8127"/>
      <w:bookmarkStart w:id="146" w:name="_Toc21045"/>
      <w:bookmarkStart w:id="147" w:name="_Toc775"/>
      <w:r>
        <w:rPr>
          <w:rFonts w:hint="eastAsia" w:ascii="Times New Roman" w:hAnsi="Times New Roman" w:eastAsia="楷体_GB2312" w:cs="楷体_GB2312"/>
          <w:b/>
          <w:bCs w:val="0"/>
          <w:color w:val="auto"/>
          <w:highlight w:val="none"/>
          <w:lang w:val="en-US" w:eastAsia="zh-CN"/>
        </w:rPr>
        <w:t>（一）强抓狮头鹅生产源头，建成绿色标准化原料生产区</w:t>
      </w:r>
      <w:bookmarkEnd w:id="141"/>
      <w:bookmarkEnd w:id="142"/>
      <w:bookmarkEnd w:id="143"/>
      <w:bookmarkEnd w:id="144"/>
      <w:bookmarkEnd w:id="145"/>
      <w:bookmarkEnd w:id="146"/>
    </w:p>
    <w:p w14:paraId="4C69DBDD">
      <w:pPr>
        <w:ind w:firstLine="64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发挥独特的资源禀赋优势，围绕强化现代农业产业园建设基地支撑，坚持狮头鹅保种场创新主体地位，深化科研院所合作，</w:t>
      </w:r>
      <w:r>
        <w:rPr>
          <w:rFonts w:hint="default" w:ascii="Times New Roman" w:hAnsi="Times New Roman"/>
          <w:color w:val="auto"/>
          <w:highlight w:val="none"/>
          <w:lang w:val="en-US" w:eastAsia="zh-CN"/>
        </w:rPr>
        <w:t>以</w:t>
      </w:r>
      <w:r>
        <w:rPr>
          <w:rFonts w:hint="eastAsia" w:ascii="Times New Roman" w:hAnsi="Times New Roman"/>
          <w:color w:val="auto"/>
          <w:highlight w:val="none"/>
          <w:lang w:val="en-US" w:eastAsia="zh-CN"/>
        </w:rPr>
        <w:t>现有狮头鹅良种繁育技术为抓手，高标准建设狮头鹅良种繁育基地，大力推广狮头鹅优良品种，优化产业源头。推动狮头鹅</w:t>
      </w:r>
      <w:r>
        <w:rPr>
          <w:rFonts w:hint="eastAsia" w:ascii="Times New Roman" w:hAnsi="Times New Roman" w:eastAsia="仿宋_GB2312" w:cs="仿宋_GB2312"/>
          <w:color w:val="auto"/>
          <w:sz w:val="32"/>
          <w:szCs w:val="32"/>
          <w:highlight w:val="none"/>
          <w:lang w:val="en-US" w:eastAsia="zh-CN"/>
        </w:rPr>
        <w:t>养殖环节</w:t>
      </w:r>
      <w:r>
        <w:rPr>
          <w:rFonts w:hint="eastAsia" w:ascii="Times New Roman" w:hAnsi="Times New Roman" w:cs="仿宋_GB2312"/>
          <w:color w:val="auto"/>
          <w:sz w:val="32"/>
          <w:szCs w:val="32"/>
          <w:highlight w:val="none"/>
          <w:lang w:val="en-US" w:eastAsia="zh-CN"/>
        </w:rPr>
        <w:t>由</w:t>
      </w:r>
      <w:r>
        <w:rPr>
          <w:rFonts w:hint="eastAsia" w:ascii="Times New Roman" w:hAnsi="Times New Roman" w:eastAsia="仿宋_GB2312" w:cs="仿宋_GB2312"/>
          <w:color w:val="auto"/>
          <w:sz w:val="32"/>
          <w:szCs w:val="32"/>
          <w:highlight w:val="none"/>
          <w:lang w:val="en-US" w:eastAsia="zh-CN"/>
        </w:rPr>
        <w:t>传统种质资源保护向科技型种源研发转型、小散养殖向标准化规模养殖转型、粗放养殖向绿色科学养殖转型</w:t>
      </w:r>
      <w:r>
        <w:rPr>
          <w:rFonts w:hint="eastAsia" w:ascii="Times New Roman" w:hAnsi="Times New Roman" w:cs="仿宋_GB2312"/>
          <w:color w:val="auto"/>
          <w:sz w:val="32"/>
          <w:szCs w:val="32"/>
          <w:highlight w:val="none"/>
          <w:lang w:val="en-US" w:eastAsia="zh-CN"/>
        </w:rPr>
        <w:t>，</w:t>
      </w:r>
      <w:r>
        <w:rPr>
          <w:rFonts w:hint="eastAsia" w:ascii="Times New Roman" w:hAnsi="Times New Roman" w:eastAsia="仿宋_GB2312" w:cs="仿宋_GB2312"/>
          <w:color w:val="auto"/>
          <w:sz w:val="32"/>
          <w:szCs w:val="32"/>
          <w:highlight w:val="none"/>
          <w:lang w:val="en-US" w:eastAsia="zh-CN"/>
        </w:rPr>
        <w:t>确保狮头鹅养殖高质量可持续发展</w:t>
      </w:r>
      <w:r>
        <w:rPr>
          <w:rFonts w:hint="eastAsia" w:ascii="Times New Roman" w:hAnsi="Times New Roman" w:cs="仿宋_GB2312"/>
          <w:color w:val="auto"/>
          <w:sz w:val="32"/>
          <w:szCs w:val="32"/>
          <w:highlight w:val="none"/>
          <w:lang w:val="en-US" w:eastAsia="zh-CN"/>
        </w:rPr>
        <w:t>。</w:t>
      </w:r>
    </w:p>
    <w:p w14:paraId="245B19DC">
      <w:pPr>
        <w:pStyle w:val="4"/>
        <w:pageBreakBefore w:val="0"/>
        <w:kinsoku/>
        <w:overflowPunct/>
        <w:topLinePunct w:val="0"/>
        <w:autoSpaceDE/>
        <w:autoSpaceDN/>
        <w:bidi w:val="0"/>
        <w:adjustRightInd/>
        <w:snapToGrid/>
        <w:spacing w:line="240" w:lineRule="auto"/>
        <w:rPr>
          <w:rFonts w:hint="eastAsia" w:ascii="Times New Roman" w:hAnsi="Times New Roman" w:cs="仿宋_GB2312"/>
          <w:color w:val="auto"/>
          <w:sz w:val="32"/>
          <w:szCs w:val="32"/>
          <w:highlight w:val="none"/>
          <w:lang w:val="en-US" w:eastAsia="zh-CN"/>
        </w:rPr>
      </w:pPr>
      <w:bookmarkStart w:id="148" w:name="_Toc31842"/>
      <w:bookmarkStart w:id="149" w:name="_Toc14053"/>
      <w:r>
        <w:rPr>
          <w:rFonts w:hint="default" w:ascii="Times New Roman" w:hAnsi="Times New Roman" w:cs="仿宋_GB2312"/>
          <w:color w:val="auto"/>
          <w:sz w:val="32"/>
          <w:szCs w:val="32"/>
          <w:highlight w:val="none"/>
          <w:lang w:val="en-US" w:eastAsia="zh-CN"/>
        </w:rPr>
        <w:t>1.</w:t>
      </w:r>
      <w:r>
        <w:rPr>
          <w:rFonts w:hint="eastAsia" w:ascii="Times New Roman" w:hAnsi="Times New Roman" w:cs="仿宋_GB2312"/>
          <w:color w:val="auto"/>
          <w:sz w:val="32"/>
          <w:szCs w:val="32"/>
          <w:highlight w:val="none"/>
          <w:lang w:val="en-US" w:eastAsia="zh-CN"/>
        </w:rPr>
        <w:t>建设狮头鹅良种繁育基地</w:t>
      </w:r>
    </w:p>
    <w:p w14:paraId="378C9B08">
      <w:pPr>
        <w:pageBreakBefore w:val="0"/>
        <w:kinsoku/>
        <w:overflowPunct/>
        <w:topLinePunct w:val="0"/>
        <w:autoSpaceDE/>
        <w:autoSpaceDN/>
        <w:bidi w:val="0"/>
        <w:adjustRightInd/>
        <w:snapToGrid/>
        <w:spacing w:line="240" w:lineRule="auto"/>
        <w:ind w:firstLine="640"/>
        <w:rPr>
          <w:rFonts w:hint="eastAsia" w:ascii="Times New Roman" w:hAnsi="Times New Roman" w:eastAsia="仿宋_GB2312" w:cstheme="minorBidi"/>
          <w:color w:val="auto"/>
          <w:sz w:val="32"/>
          <w:highlight w:val="none"/>
          <w:lang w:val="en-US" w:eastAsia="zh-CN"/>
        </w:rPr>
      </w:pPr>
      <w:r>
        <w:rPr>
          <w:rFonts w:hint="eastAsia" w:ascii="Times New Roman" w:hAnsi="Times New Roman" w:cstheme="minorBidi"/>
          <w:color w:val="auto"/>
          <w:sz w:val="32"/>
          <w:szCs w:val="22"/>
          <w:highlight w:val="none"/>
          <w:lang w:val="en-US" w:eastAsia="zh-CN"/>
        </w:rPr>
        <w:t>依托</w:t>
      </w:r>
      <w:r>
        <w:rPr>
          <w:rFonts w:hint="eastAsia" w:ascii="Times New Roman" w:hAnsi="Times New Roman" w:eastAsia="仿宋_GB2312" w:cstheme="minorBidi"/>
          <w:color w:val="auto"/>
          <w:sz w:val="32"/>
          <w:highlight w:val="none"/>
        </w:rPr>
        <w:t>汕头市白沙禽畜原种研究</w:t>
      </w:r>
      <w:r>
        <w:rPr>
          <w:rFonts w:hint="eastAsia" w:ascii="Times New Roman" w:hAnsi="Times New Roman" w:cstheme="minorBidi"/>
          <w:color w:val="auto"/>
          <w:sz w:val="32"/>
          <w:highlight w:val="none"/>
          <w:lang w:val="en-US" w:eastAsia="zh-CN"/>
        </w:rPr>
        <w:t>所及省内外科研院所现有技术力量，加强狮头鹅良种繁育体系建设，进一步扩充狮头鹅保种场、原种场、扩繁场、孵化场等良种繁育体系。加快引进和培育狮头鹅优良新品种，实现狮头鹅</w:t>
      </w:r>
      <w:r>
        <w:rPr>
          <w:rFonts w:hint="eastAsia" w:ascii="Times New Roman" w:hAnsi="Times New Roman" w:cs="Times New Roman"/>
          <w:color w:val="auto"/>
          <w:sz w:val="32"/>
          <w:highlight w:val="none"/>
          <w:lang w:val="en-US" w:eastAsia="zh-CN"/>
        </w:rPr>
        <w:t>良种覆盖率达99.5%</w:t>
      </w:r>
      <w:r>
        <w:rPr>
          <w:rFonts w:hint="eastAsia" w:ascii="Times New Roman" w:hAnsi="Times New Roman" w:cstheme="minorBidi"/>
          <w:color w:val="auto"/>
          <w:sz w:val="32"/>
          <w:highlight w:val="none"/>
          <w:lang w:val="en-US" w:eastAsia="zh-CN"/>
        </w:rPr>
        <w:t>。支持培育具有狮头鹅育种能力的经营主体从事狮头鹅育种，在产业园狮头鹅养殖规划区提升改造一批标准化、规模化、智能化的</w:t>
      </w:r>
      <w:r>
        <w:rPr>
          <w:rFonts w:hint="eastAsia" w:ascii="Times New Roman" w:hAnsi="Times New Roman" w:eastAsia="仿宋_GB2312" w:cstheme="minorBidi"/>
          <w:color w:val="auto"/>
          <w:sz w:val="32"/>
          <w:highlight w:val="none"/>
        </w:rPr>
        <w:t>狮头鹅标准化育种基地</w:t>
      </w:r>
      <w:r>
        <w:rPr>
          <w:rFonts w:hint="eastAsia" w:ascii="Times New Roman" w:hAnsi="Times New Roman" w:cstheme="minorBidi"/>
          <w:color w:val="auto"/>
          <w:sz w:val="32"/>
          <w:highlight w:val="none"/>
          <w:lang w:eastAsia="zh-CN"/>
        </w:rPr>
        <w:t>，</w:t>
      </w:r>
      <w:r>
        <w:rPr>
          <w:rFonts w:hint="eastAsia" w:ascii="Times New Roman" w:hAnsi="Times New Roman" w:cstheme="minorBidi"/>
          <w:color w:val="auto"/>
          <w:sz w:val="32"/>
          <w:highlight w:val="none"/>
          <w:lang w:val="en-US" w:eastAsia="zh-CN"/>
        </w:rPr>
        <w:t>完善育种基地母鹅鹅舍、供电设施等基础设施设备，提高产业园狮头鹅苗供应能力，从源头上保障狮头鹅的优质生产。到2026年，狮头鹅育种基地设施设备进一步提升，新增优质种鹅达8万只</w:t>
      </w:r>
      <w:r>
        <w:rPr>
          <w:rFonts w:hint="eastAsia" w:ascii="Times New Roman" w:hAnsi="Times New Roman" w:cs="Times New Roman"/>
          <w:color w:val="auto"/>
          <w:sz w:val="32"/>
          <w:highlight w:val="none"/>
          <w:lang w:val="en-US" w:eastAsia="zh-CN"/>
        </w:rPr>
        <w:t>。</w:t>
      </w:r>
      <w:bookmarkEnd w:id="148"/>
      <w:bookmarkEnd w:id="149"/>
    </w:p>
    <w:p w14:paraId="136C00FC">
      <w:pPr>
        <w:pStyle w:val="4"/>
        <w:pageBreakBefore w:val="0"/>
        <w:kinsoku/>
        <w:overflowPunct/>
        <w:topLinePunct w:val="0"/>
        <w:autoSpaceDE/>
        <w:autoSpaceDN/>
        <w:bidi w:val="0"/>
        <w:adjustRightInd/>
        <w:snapToGrid/>
        <w:spacing w:line="240" w:lineRule="auto"/>
        <w:rPr>
          <w:rFonts w:hint="default" w:ascii="Times New Roman" w:hAnsi="Times New Roman" w:cs="仿宋_GB2312"/>
          <w:color w:val="auto"/>
          <w:sz w:val="32"/>
          <w:szCs w:val="32"/>
          <w:highlight w:val="none"/>
          <w:lang w:val="en-US" w:eastAsia="zh-CN"/>
        </w:rPr>
      </w:pPr>
      <w:r>
        <w:rPr>
          <w:rFonts w:hint="default" w:ascii="Times New Roman" w:hAnsi="Times New Roman" w:cs="仿宋_GB2312"/>
          <w:color w:val="auto"/>
          <w:sz w:val="32"/>
          <w:szCs w:val="32"/>
          <w:highlight w:val="none"/>
          <w:lang w:val="en-US" w:eastAsia="zh-CN"/>
        </w:rPr>
        <w:t>2.推行</w:t>
      </w:r>
      <w:r>
        <w:rPr>
          <w:rFonts w:hint="eastAsia" w:ascii="Times New Roman" w:hAnsi="Times New Roman" w:cs="仿宋_GB2312"/>
          <w:color w:val="auto"/>
          <w:sz w:val="32"/>
          <w:szCs w:val="32"/>
          <w:highlight w:val="none"/>
          <w:lang w:val="en-US" w:eastAsia="zh-CN"/>
        </w:rPr>
        <w:t>种蛋</w:t>
      </w:r>
      <w:r>
        <w:rPr>
          <w:rFonts w:hint="default" w:ascii="Times New Roman" w:hAnsi="Times New Roman" w:cs="仿宋_GB2312"/>
          <w:color w:val="auto"/>
          <w:sz w:val="32"/>
          <w:szCs w:val="32"/>
          <w:highlight w:val="none"/>
          <w:lang w:val="en-US" w:eastAsia="zh-CN"/>
        </w:rPr>
        <w:t>集中孵化模式</w:t>
      </w:r>
    </w:p>
    <w:p w14:paraId="50DD4F4A">
      <w:pPr>
        <w:pageBreakBefore w:val="0"/>
        <w:kinsoku/>
        <w:overflowPunct/>
        <w:topLinePunct w:val="0"/>
        <w:autoSpaceDE/>
        <w:autoSpaceDN/>
        <w:bidi w:val="0"/>
        <w:adjustRightInd/>
        <w:snapToGrid/>
        <w:spacing w:line="590" w:lineRule="exact"/>
        <w:ind w:firstLine="640"/>
        <w:rPr>
          <w:rFonts w:hint="eastAsia" w:ascii="Times New Roman" w:hAnsi="Times New Roman" w:cs="Times New Roman"/>
          <w:color w:val="auto"/>
          <w:sz w:val="32"/>
          <w:highlight w:val="none"/>
          <w:lang w:val="en-US" w:eastAsia="zh-CN"/>
        </w:rPr>
      </w:pPr>
      <w:r>
        <w:rPr>
          <w:rFonts w:hint="eastAsia" w:ascii="Times New Roman" w:hAnsi="Times New Roman" w:cs="Times New Roman"/>
          <w:color w:val="auto"/>
          <w:sz w:val="32"/>
          <w:highlight w:val="none"/>
          <w:lang w:val="en-US" w:eastAsia="zh-CN"/>
        </w:rPr>
        <w:t>以大型种鹅企业及扩繁基地为依托，通过实施光照、温度等环境控制技术，提高繁殖性能，保障种蛋稳定供应。支持种鹅生产经营企业购置现代化孵化设备，引进先进脱温设备及配套设施，采用恒温自动化控制、循环孵化方式，保障鹅苗稳定供应。到2026年，新增现代化孵化设备30台/套以上，种蛋孵化率提升5%以上。</w:t>
      </w:r>
    </w:p>
    <w:p w14:paraId="5AB9B41E">
      <w:pPr>
        <w:pStyle w:val="4"/>
        <w:pageBreakBefore w:val="0"/>
        <w:kinsoku/>
        <w:overflowPunct/>
        <w:topLinePunct w:val="0"/>
        <w:autoSpaceDE/>
        <w:autoSpaceDN/>
        <w:bidi w:val="0"/>
        <w:adjustRightInd/>
        <w:snapToGrid/>
        <w:spacing w:line="240" w:lineRule="auto"/>
        <w:rPr>
          <w:rFonts w:hint="default" w:ascii="Times New Roman" w:hAnsi="Times New Roman" w:cs="仿宋_GB2312"/>
          <w:color w:val="auto"/>
          <w:sz w:val="32"/>
          <w:szCs w:val="32"/>
          <w:highlight w:val="none"/>
          <w:lang w:val="en-US" w:eastAsia="zh-CN"/>
        </w:rPr>
      </w:pPr>
      <w:r>
        <w:rPr>
          <w:rFonts w:hint="default" w:ascii="Times New Roman" w:hAnsi="Times New Roman" w:cs="仿宋_GB2312"/>
          <w:color w:val="auto"/>
          <w:sz w:val="32"/>
          <w:szCs w:val="32"/>
          <w:highlight w:val="none"/>
          <w:lang w:val="en-US" w:eastAsia="zh-CN"/>
        </w:rPr>
        <w:t>3.建设狮头鹅标准化示范养殖基地</w:t>
      </w:r>
    </w:p>
    <w:p w14:paraId="1D6A7EF8">
      <w:pPr>
        <w:pageBreakBefore w:val="0"/>
        <w:kinsoku/>
        <w:overflowPunct/>
        <w:topLinePunct w:val="0"/>
        <w:autoSpaceDE/>
        <w:autoSpaceDN/>
        <w:bidi w:val="0"/>
        <w:adjustRightInd/>
        <w:snapToGrid/>
        <w:spacing w:line="590" w:lineRule="exact"/>
        <w:ind w:firstLine="640"/>
        <w:rPr>
          <w:rFonts w:ascii="Times New Roman" w:hAnsi="Times New Roman"/>
          <w:b/>
          <w:bCs/>
          <w:color w:val="auto"/>
          <w:highlight w:val="none"/>
        </w:rPr>
      </w:pPr>
      <w:r>
        <w:rPr>
          <w:rFonts w:ascii="Times New Roman" w:hAnsi="Times New Roman"/>
          <w:color w:val="auto"/>
          <w:highlight w:val="none"/>
        </w:rPr>
        <w:t>大力推动高效安全、绿色环保、现代智能的标准化养殖基地建设，引进先进的鹅舍建设模式，提升自动饲喂、环境控制、疫病防控、</w:t>
      </w:r>
      <w:r>
        <w:rPr>
          <w:rStyle w:val="27"/>
          <w:rFonts w:ascii="Times New Roman" w:hAnsi="Times New Roman"/>
          <w:b w:val="0"/>
          <w:color w:val="auto"/>
          <w:highlight w:val="none"/>
        </w:rPr>
        <w:t>无害化处理和资源化利用</w:t>
      </w:r>
      <w:r>
        <w:rPr>
          <w:rFonts w:ascii="Times New Roman" w:hAnsi="Times New Roman"/>
          <w:color w:val="auto"/>
          <w:highlight w:val="none"/>
        </w:rPr>
        <w:t>等环节标准化改造和设备更新，推广节水、节料、节能养殖工艺和干清粪、微生物发酵等实用技术，配套建设在线可视化智能监控系统，对养殖全过程中的畜舍环境、饲料、疫苗、药品信息、废弃物存量及养殖场周边的实时环境指标进行采集和跟踪，实现机械化、自动化、智能化养殖。从饲养环境、饲料及饲料添加剂的使用、兽药使用、动物防疫、饲养管理等多个环节制定标准化饲养管理规程，建立健全标准化生产体系。推动狮头鹅标准化、现代化、智能化、生态化示范基地发展，为全国提供高效、绿色的狮头鹅标准化养殖示范。</w:t>
      </w:r>
      <w:r>
        <w:rPr>
          <w:rFonts w:hint="eastAsia" w:ascii="Times New Roman" w:hAnsi="Times New Roman"/>
          <w:color w:val="auto"/>
          <w:highlight w:val="none"/>
          <w:lang w:val="en-US" w:eastAsia="zh-CN"/>
        </w:rPr>
        <w:t>全面推进产业园全域绿色生产，加快农业废弃物资源化利用，到2026年，产业园</w:t>
      </w:r>
      <w:r>
        <w:rPr>
          <w:rFonts w:hint="eastAsia" w:ascii="Times New Roman" w:hAnsi="Times New Roman" w:cs="Times New Roman"/>
          <w:b w:val="0"/>
          <w:bCs w:val="0"/>
          <w:color w:val="auto"/>
          <w:highlight w:val="none"/>
          <w:lang w:val="en-US" w:eastAsia="zh-CN"/>
        </w:rPr>
        <w:t>畜禽粪便（或秸秆）综合处理率</w:t>
      </w:r>
      <w:r>
        <w:rPr>
          <w:rFonts w:hint="eastAsia" w:ascii="Times New Roman" w:hAnsi="Times New Roman"/>
          <w:color w:val="auto"/>
          <w:highlight w:val="none"/>
          <w:lang w:val="en-US" w:eastAsia="zh-CN"/>
        </w:rPr>
        <w:t>达92%</w:t>
      </w:r>
      <w:r>
        <w:rPr>
          <w:rFonts w:hint="eastAsia" w:ascii="Times New Roman" w:hAnsi="Times New Roman" w:cs="Times New Roman"/>
          <w:b w:val="0"/>
          <w:bCs w:val="0"/>
          <w:color w:val="auto"/>
          <w:highlight w:val="none"/>
          <w:lang w:val="en-US" w:eastAsia="zh-CN"/>
        </w:rPr>
        <w:t>。</w:t>
      </w:r>
    </w:p>
    <w:p w14:paraId="1916EA32">
      <w:pPr>
        <w:pStyle w:val="4"/>
        <w:keepNext w:val="0"/>
        <w:keepLines/>
        <w:pageBreakBefore w:val="0"/>
        <w:widowControl/>
        <w:kinsoku/>
        <w:wordWrap/>
        <w:overflowPunct/>
        <w:topLinePunct w:val="0"/>
        <w:autoSpaceDE/>
        <w:autoSpaceDN/>
        <w:bidi w:val="0"/>
        <w:adjustRightInd/>
        <w:snapToGrid/>
        <w:spacing w:line="590" w:lineRule="exact"/>
        <w:ind w:firstLine="640" w:firstLineChars="0"/>
        <w:textAlignment w:val="auto"/>
        <w:outlineLvl w:val="1"/>
        <w:rPr>
          <w:rFonts w:hint="default" w:ascii="Times New Roman" w:hAnsi="Times New Roman" w:eastAsia="楷体_GB2312" w:cs="楷体_GB2312"/>
          <w:b/>
          <w:bCs w:val="0"/>
          <w:color w:val="auto"/>
          <w:highlight w:val="none"/>
          <w:lang w:val="en-US" w:eastAsia="zh-CN"/>
        </w:rPr>
      </w:pPr>
      <w:bookmarkStart w:id="150" w:name="_Toc1843"/>
      <w:bookmarkStart w:id="151" w:name="_Toc28115"/>
      <w:bookmarkStart w:id="152" w:name="_Toc2241"/>
      <w:bookmarkStart w:id="153" w:name="_Toc24721"/>
      <w:bookmarkStart w:id="154" w:name="_Toc18649"/>
      <w:bookmarkStart w:id="155" w:name="_Toc26622"/>
      <w:r>
        <w:rPr>
          <w:rFonts w:hint="eastAsia" w:ascii="Times New Roman" w:hAnsi="Times New Roman" w:eastAsia="楷体_GB2312" w:cs="楷体_GB2312"/>
          <w:b/>
          <w:bCs w:val="0"/>
          <w:color w:val="auto"/>
          <w:highlight w:val="none"/>
          <w:lang w:val="en-US" w:eastAsia="zh-CN"/>
        </w:rPr>
        <w:t>（二）强化屠宰加工冷链流通，</w:t>
      </w:r>
      <w:bookmarkEnd w:id="150"/>
      <w:bookmarkEnd w:id="151"/>
      <w:bookmarkEnd w:id="152"/>
      <w:bookmarkEnd w:id="153"/>
      <w:bookmarkEnd w:id="154"/>
      <w:r>
        <w:rPr>
          <w:rFonts w:hint="eastAsia" w:ascii="Times New Roman" w:hAnsi="Times New Roman" w:eastAsia="楷体_GB2312" w:cs="楷体_GB2312"/>
          <w:b/>
          <w:bCs w:val="0"/>
          <w:color w:val="auto"/>
          <w:highlight w:val="none"/>
          <w:lang w:val="en-US" w:eastAsia="zh-CN"/>
        </w:rPr>
        <w:t>深度开发狮头鹅多元化产品</w:t>
      </w:r>
      <w:bookmarkEnd w:id="155"/>
    </w:p>
    <w:p w14:paraId="651D58D8">
      <w:pPr>
        <w:pageBreakBefore w:val="0"/>
        <w:kinsoku/>
        <w:overflowPunct/>
        <w:topLinePunct w:val="0"/>
        <w:autoSpaceDE/>
        <w:autoSpaceDN/>
        <w:bidi w:val="0"/>
        <w:adjustRightInd/>
        <w:snapToGrid/>
        <w:spacing w:line="590" w:lineRule="exact"/>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坚定不移走“工业立市、产业强市”之路，建设和延伸“肉鹅养殖－卤鹅加工－品牌营销”产业链条，大力发展狮头鹅及附属产业深加工，提高狮头鹅产业附加值，拓展狮头鹅产业发展空间，提高生产和经营管理水平，创响“澄海狮头鹅”品牌，推动狮头鹅行业转型升级和高质量发展。</w:t>
      </w:r>
    </w:p>
    <w:p w14:paraId="19AA1065">
      <w:pPr>
        <w:pStyle w:val="4"/>
        <w:pageBreakBefore w:val="0"/>
        <w:kinsoku/>
        <w:overflowPunct/>
        <w:topLinePunct w:val="0"/>
        <w:autoSpaceDE/>
        <w:autoSpaceDN/>
        <w:bidi w:val="0"/>
        <w:adjustRightInd/>
        <w:snapToGrid/>
        <w:spacing w:line="240" w:lineRule="auto"/>
        <w:rPr>
          <w:rFonts w:hint="default" w:ascii="Times New Roman" w:hAnsi="Times New Roman" w:cs="仿宋_GB2312"/>
          <w:color w:val="auto"/>
          <w:sz w:val="32"/>
          <w:szCs w:val="32"/>
          <w:highlight w:val="none"/>
          <w:lang w:val="en-US" w:eastAsia="zh-CN"/>
        </w:rPr>
      </w:pPr>
      <w:bookmarkStart w:id="156" w:name="_Toc21081"/>
      <w:bookmarkStart w:id="157" w:name="_Toc19044"/>
      <w:r>
        <w:rPr>
          <w:rFonts w:hint="default" w:ascii="Times New Roman" w:hAnsi="Times New Roman" w:cs="仿宋_GB2312"/>
          <w:color w:val="auto"/>
          <w:sz w:val="32"/>
          <w:szCs w:val="32"/>
          <w:highlight w:val="none"/>
          <w:lang w:val="en-US" w:eastAsia="zh-CN"/>
        </w:rPr>
        <w:t>1.建设狮头鹅屠宰加工冷链基地，巩固狮头鹅产业中心定位</w:t>
      </w:r>
      <w:bookmarkEnd w:id="156"/>
      <w:bookmarkEnd w:id="157"/>
    </w:p>
    <w:p w14:paraId="0ECA53E8">
      <w:pPr>
        <w:pageBreakBefore w:val="0"/>
        <w:kinsoku/>
        <w:overflowPunct/>
        <w:topLinePunct w:val="0"/>
        <w:autoSpaceDE/>
        <w:autoSpaceDN/>
        <w:bidi w:val="0"/>
        <w:adjustRightInd/>
        <w:snapToGrid/>
        <w:spacing w:line="590" w:lineRule="exact"/>
        <w:rPr>
          <w:rFonts w:hint="default" w:ascii="Times New Roman" w:hAnsi="Times New Roman"/>
          <w:color w:val="auto"/>
          <w:highlight w:val="none"/>
          <w:lang w:eastAsia="en-US"/>
        </w:rPr>
      </w:pPr>
      <w:r>
        <w:rPr>
          <w:rFonts w:hint="eastAsia" w:ascii="Times New Roman" w:hAnsi="Times New Roman"/>
          <w:color w:val="auto"/>
          <w:highlight w:val="none"/>
          <w:lang w:val="en-US" w:eastAsia="zh-CN"/>
        </w:rPr>
        <w:t>通过</w:t>
      </w:r>
      <w:r>
        <w:rPr>
          <w:rFonts w:hint="default" w:ascii="Times New Roman" w:hAnsi="Times New Roman"/>
          <w:color w:val="auto"/>
          <w:highlight w:val="none"/>
          <w:lang w:eastAsia="en-US"/>
        </w:rPr>
        <w:t>培育一批深加工企业，谋划一批深加工项目，积极重构产业链分工，改变原有“繁殖种苗、饲养肉鹅、屠宰加工、卤制销售”整条产业链都在</w:t>
      </w:r>
      <w:r>
        <w:rPr>
          <w:rFonts w:hint="eastAsia" w:ascii="Times New Roman" w:hAnsi="Times New Roman"/>
          <w:color w:val="auto"/>
          <w:highlight w:val="none"/>
          <w:lang w:val="en-US" w:eastAsia="zh-CN"/>
        </w:rPr>
        <w:t>澄海区</w:t>
      </w:r>
      <w:r>
        <w:rPr>
          <w:rFonts w:hint="default" w:ascii="Times New Roman" w:hAnsi="Times New Roman"/>
          <w:color w:val="auto"/>
          <w:highlight w:val="none"/>
          <w:lang w:eastAsia="en-US"/>
        </w:rPr>
        <w:t>的发展模式，按照</w:t>
      </w:r>
      <w:r>
        <w:rPr>
          <w:rFonts w:hint="eastAsia" w:ascii="Times New Roman" w:hAnsi="Times New Roman"/>
          <w:color w:val="auto"/>
          <w:highlight w:val="none"/>
          <w:lang w:val="en-US" w:eastAsia="zh-CN"/>
        </w:rPr>
        <w:t>接二连三融合发展思路</w:t>
      </w:r>
      <w:r>
        <w:rPr>
          <w:rFonts w:hint="default" w:ascii="Times New Roman" w:hAnsi="Times New Roman"/>
          <w:color w:val="auto"/>
          <w:highlight w:val="none"/>
          <w:lang w:eastAsia="en-US"/>
        </w:rPr>
        <w:t>，促进</w:t>
      </w:r>
      <w:r>
        <w:rPr>
          <w:rFonts w:hint="eastAsia" w:ascii="Times New Roman" w:hAnsi="Times New Roman"/>
          <w:color w:val="auto"/>
          <w:highlight w:val="none"/>
          <w:lang w:val="en-US" w:eastAsia="zh-CN"/>
        </w:rPr>
        <w:t>澄海区</w:t>
      </w:r>
      <w:r>
        <w:rPr>
          <w:rFonts w:hint="default" w:ascii="Times New Roman" w:hAnsi="Times New Roman"/>
          <w:color w:val="auto"/>
          <w:highlight w:val="none"/>
          <w:lang w:eastAsia="en-US"/>
        </w:rPr>
        <w:t>狮头鹅产业上规模提档次，强化产业影响，增强产业效益</w:t>
      </w:r>
      <w:r>
        <w:rPr>
          <w:rFonts w:hint="eastAsia" w:ascii="Times New Roman" w:hAnsi="Times New Roman"/>
          <w:color w:val="auto"/>
          <w:highlight w:val="none"/>
          <w:lang w:eastAsia="zh-CN"/>
        </w:rPr>
        <w:t>，</w:t>
      </w:r>
      <w:r>
        <w:rPr>
          <w:rFonts w:hint="default" w:ascii="Times New Roman" w:hAnsi="Times New Roman"/>
          <w:color w:val="auto"/>
          <w:highlight w:val="none"/>
          <w:lang w:eastAsia="en-US"/>
        </w:rPr>
        <w:t>形成良种培育、工厂宰杀、集中加工、冷链物流、品牌营销、电商平台在内，饲料生产、分散养殖在外的生产格局，努力占据产业链中技术含量高、利润空间大的“微笑曲线”两端。</w:t>
      </w:r>
    </w:p>
    <w:p w14:paraId="17119B00">
      <w:pPr>
        <w:pageBreakBefore w:val="0"/>
        <w:kinsoku/>
        <w:overflowPunct/>
        <w:topLinePunct w:val="0"/>
        <w:autoSpaceDE/>
        <w:autoSpaceDN/>
        <w:bidi w:val="0"/>
        <w:adjustRightInd/>
        <w:snapToGrid/>
        <w:spacing w:line="590" w:lineRule="exact"/>
        <w:rPr>
          <w:rFonts w:hint="default" w:ascii="Times New Roman" w:hAnsi="Times New Roman" w:eastAsia="仿宋_GB2312"/>
          <w:color w:val="auto"/>
          <w:highlight w:val="none"/>
          <w:lang w:val="en-US" w:eastAsia="zh-CN"/>
        </w:rPr>
      </w:pPr>
      <w:r>
        <w:rPr>
          <w:rFonts w:hint="eastAsia" w:ascii="Times New Roman" w:hAnsi="Times New Roman"/>
          <w:b/>
          <w:bCs/>
          <w:color w:val="auto"/>
          <w:highlight w:val="none"/>
          <w:lang w:val="en-US" w:eastAsia="zh-CN"/>
        </w:rPr>
        <w:t>——提升产品种类</w:t>
      </w:r>
      <w:r>
        <w:rPr>
          <w:rFonts w:hint="eastAsia" w:ascii="Times New Roman" w:hAnsi="Times New Roman"/>
          <w:color w:val="auto"/>
          <w:highlight w:val="none"/>
          <w:lang w:val="en-US" w:eastAsia="zh-CN"/>
        </w:rPr>
        <w:t>。</w:t>
      </w:r>
      <w:r>
        <w:rPr>
          <w:rFonts w:hint="default" w:ascii="Times New Roman" w:hAnsi="Times New Roman"/>
          <w:color w:val="auto"/>
          <w:highlight w:val="none"/>
        </w:rPr>
        <w:t>推进狮头鹅集中屠宰、鹅肉卤制加工、鹅蛋、鹅羽绒加工装备、</w:t>
      </w:r>
      <w:r>
        <w:rPr>
          <w:rFonts w:hint="eastAsia" w:ascii="Times New Roman" w:hAnsi="Times New Roman"/>
          <w:color w:val="auto"/>
          <w:highlight w:val="none"/>
          <w:lang w:val="en-US" w:eastAsia="zh-CN"/>
        </w:rPr>
        <w:t>冷链流通、文创IP产业</w:t>
      </w:r>
      <w:r>
        <w:rPr>
          <w:rFonts w:hint="default" w:ascii="Times New Roman" w:hAnsi="Times New Roman"/>
          <w:color w:val="auto"/>
          <w:highlight w:val="none"/>
        </w:rPr>
        <w:t>等技术体系的集成，提高澄海区狮头鹅制品加工能力，</w:t>
      </w:r>
      <w:r>
        <w:rPr>
          <w:rFonts w:hint="eastAsia" w:ascii="Times New Roman" w:hAnsi="Times New Roman"/>
          <w:color w:val="auto"/>
          <w:highlight w:val="none"/>
          <w:lang w:val="en-US" w:eastAsia="zh-CN"/>
        </w:rPr>
        <w:t>尤其是鹅羽毛制品研发，</w:t>
      </w:r>
      <w:r>
        <w:rPr>
          <w:rFonts w:hint="default" w:ascii="Times New Roman" w:hAnsi="Times New Roman"/>
          <w:color w:val="auto"/>
          <w:highlight w:val="none"/>
        </w:rPr>
        <w:t>开发特色狮头鹅精深加工</w:t>
      </w:r>
      <w:r>
        <w:rPr>
          <w:rFonts w:hint="eastAsia" w:ascii="Times New Roman" w:hAnsi="Times New Roman"/>
          <w:color w:val="auto"/>
          <w:highlight w:val="none"/>
          <w:lang w:val="en-US" w:eastAsia="zh-CN"/>
        </w:rPr>
        <w:t>品。</w:t>
      </w:r>
    </w:p>
    <w:p w14:paraId="5B2A7390">
      <w:pPr>
        <w:pageBreakBefore w:val="0"/>
        <w:kinsoku/>
        <w:overflowPunct/>
        <w:topLinePunct w:val="0"/>
        <w:autoSpaceDE/>
        <w:autoSpaceDN/>
        <w:bidi w:val="0"/>
        <w:adjustRightInd/>
        <w:snapToGrid/>
        <w:spacing w:line="590" w:lineRule="exact"/>
        <w:rPr>
          <w:rFonts w:hint="eastAsia" w:ascii="Times New Roman" w:hAnsi="Times New Roman" w:eastAsia="仿宋_GB2312"/>
          <w:color w:val="auto"/>
          <w:highlight w:val="none"/>
          <w:lang w:eastAsia="zh-CN"/>
        </w:rPr>
      </w:pPr>
      <w:r>
        <w:rPr>
          <w:rFonts w:hint="eastAsia" w:ascii="Times New Roman" w:hAnsi="Times New Roman"/>
          <w:b/>
          <w:bCs/>
          <w:color w:val="auto"/>
          <w:highlight w:val="none"/>
          <w:lang w:val="en-US" w:eastAsia="zh-CN"/>
        </w:rPr>
        <w:t>——提升屠宰能力。</w:t>
      </w:r>
      <w:r>
        <w:rPr>
          <w:rFonts w:hint="default" w:ascii="Times New Roman" w:hAnsi="Times New Roman"/>
          <w:b w:val="0"/>
          <w:bCs w:val="0"/>
          <w:color w:val="auto"/>
          <w:highlight w:val="none"/>
          <w:lang w:val="en-US" w:eastAsia="zh-CN"/>
        </w:rPr>
        <w:t>调整优化</w:t>
      </w:r>
      <w:r>
        <w:rPr>
          <w:rFonts w:hint="eastAsia" w:ascii="Times New Roman" w:hAnsi="Times New Roman"/>
          <w:b w:val="0"/>
          <w:bCs w:val="0"/>
          <w:color w:val="auto"/>
          <w:highlight w:val="none"/>
          <w:lang w:val="en-US" w:eastAsia="zh-CN"/>
        </w:rPr>
        <w:t>澄海区狮头鹅</w:t>
      </w:r>
      <w:r>
        <w:rPr>
          <w:rFonts w:hint="default" w:ascii="Times New Roman" w:hAnsi="Times New Roman"/>
          <w:b w:val="0"/>
          <w:bCs w:val="0"/>
          <w:color w:val="auto"/>
          <w:highlight w:val="none"/>
          <w:lang w:val="en-US" w:eastAsia="zh-CN"/>
        </w:rPr>
        <w:t>屠宰行业</w:t>
      </w:r>
      <w:r>
        <w:rPr>
          <w:rFonts w:hint="eastAsia" w:ascii="Times New Roman" w:hAnsi="Times New Roman"/>
          <w:b w:val="0"/>
          <w:bCs w:val="0"/>
          <w:color w:val="auto"/>
          <w:highlight w:val="none"/>
          <w:lang w:val="en-US" w:eastAsia="zh-CN"/>
        </w:rPr>
        <w:t>产业结构</w:t>
      </w:r>
      <w:r>
        <w:rPr>
          <w:rFonts w:hint="default" w:ascii="Times New Roman" w:hAnsi="Times New Roman"/>
          <w:b w:val="0"/>
          <w:bCs w:val="0"/>
          <w:color w:val="auto"/>
          <w:highlight w:val="none"/>
          <w:lang w:val="en-US" w:eastAsia="zh-CN"/>
        </w:rPr>
        <w:t>，逐步形成以现代屠宰加工企业跨区域流通和本地供给并重、流通有序的产业布局。</w:t>
      </w:r>
      <w:r>
        <w:rPr>
          <w:rFonts w:hint="eastAsia" w:ascii="Times New Roman" w:hAnsi="Times New Roman"/>
          <w:b w:val="0"/>
          <w:bCs w:val="0"/>
          <w:color w:val="auto"/>
          <w:highlight w:val="none"/>
          <w:lang w:val="en-US" w:eastAsia="zh-CN"/>
        </w:rPr>
        <w:t>培育</w:t>
      </w:r>
      <w:r>
        <w:rPr>
          <w:rFonts w:hint="default" w:ascii="Times New Roman" w:hAnsi="Times New Roman"/>
          <w:b w:val="0"/>
          <w:bCs w:val="0"/>
          <w:color w:val="auto"/>
          <w:highlight w:val="none"/>
          <w:lang w:val="en-US" w:eastAsia="zh-CN"/>
        </w:rPr>
        <w:t>标准化屠宰企业，大幅减少小型狮头鹅屠宰场点数量</w:t>
      </w:r>
      <w:r>
        <w:rPr>
          <w:rFonts w:hint="eastAsia" w:ascii="Times New Roman" w:hAnsi="Times New Roman"/>
          <w:b w:val="0"/>
          <w:bCs w:val="0"/>
          <w:color w:val="auto"/>
          <w:highlight w:val="none"/>
          <w:lang w:val="en-US" w:eastAsia="zh-CN"/>
        </w:rPr>
        <w:t>，完善屠宰加工设施设备，引进先进自动化屠宰加工流水线，</w:t>
      </w:r>
      <w:r>
        <w:rPr>
          <w:rFonts w:hint="default" w:ascii="Times New Roman" w:hAnsi="Times New Roman"/>
          <w:color w:val="auto"/>
          <w:highlight w:val="none"/>
        </w:rPr>
        <w:t>提高屠宰效率</w:t>
      </w:r>
      <w:r>
        <w:rPr>
          <w:rFonts w:hint="eastAsia" w:ascii="Times New Roman" w:hAnsi="Times New Roman"/>
          <w:color w:val="auto"/>
          <w:highlight w:val="none"/>
          <w:lang w:eastAsia="zh-CN"/>
        </w:rPr>
        <w:t>，</w:t>
      </w:r>
      <w:r>
        <w:rPr>
          <w:rFonts w:hint="default" w:ascii="Times New Roman" w:hAnsi="Times New Roman" w:eastAsia="仿宋_GB2312" w:cs="仿宋_GB2312"/>
          <w:b w:val="0"/>
          <w:bCs/>
          <w:color w:val="auto"/>
          <w:kern w:val="0"/>
          <w:sz w:val="32"/>
          <w:szCs w:val="32"/>
          <w:highlight w:val="none"/>
          <w:lang w:eastAsia="en-US" w:bidi="ar-SA"/>
        </w:rPr>
        <w:t>实现“中心屠宰厂集中屠宰、镇街道（市场）设点分销配送”为主的模式。</w:t>
      </w:r>
    </w:p>
    <w:p w14:paraId="0EEDFC2D">
      <w:pPr>
        <w:pageBreakBefore w:val="0"/>
        <w:kinsoku/>
        <w:overflowPunct/>
        <w:topLinePunct w:val="0"/>
        <w:autoSpaceDE/>
        <w:autoSpaceDN/>
        <w:bidi w:val="0"/>
        <w:adjustRightInd/>
        <w:snapToGrid/>
        <w:spacing w:line="590" w:lineRule="exact"/>
        <w:rPr>
          <w:rFonts w:hint="default" w:ascii="Times New Roman" w:hAnsi="Times New Roman"/>
          <w:b w:val="0"/>
          <w:bCs w:val="0"/>
          <w:color w:val="auto"/>
          <w:highlight w:val="none"/>
        </w:rPr>
      </w:pPr>
      <w:r>
        <w:rPr>
          <w:rFonts w:hint="eastAsia" w:ascii="Times New Roman" w:hAnsi="Times New Roman"/>
          <w:b/>
          <w:bCs/>
          <w:color w:val="auto"/>
          <w:highlight w:val="none"/>
          <w:lang w:val="en-US" w:eastAsia="zh-CN"/>
        </w:rPr>
        <w:t>——提升冷链能力。</w:t>
      </w:r>
      <w:r>
        <w:rPr>
          <w:rFonts w:hint="default" w:ascii="Times New Roman" w:hAnsi="Times New Roman"/>
          <w:color w:val="auto"/>
          <w:highlight w:val="none"/>
        </w:rPr>
        <w:t>研究适合狮头鹅特色的低温慢煮、速冷锁鲜等加工技术，增强狮头鹅精深加工产品价值，提升产业效益。配套屠宰加工全程冷链系统，配备冷库，冷链车等冷链设施设备，打造集屠宰分割、精深加工、</w:t>
      </w:r>
      <w:r>
        <w:rPr>
          <w:rFonts w:hint="eastAsia" w:ascii="Times New Roman" w:hAnsi="Times New Roman"/>
          <w:color w:val="auto"/>
          <w:highlight w:val="none"/>
          <w:lang w:eastAsia="zh-CN"/>
        </w:rPr>
        <w:t>仓储</w:t>
      </w:r>
      <w:r>
        <w:rPr>
          <w:rFonts w:hint="default" w:ascii="Times New Roman" w:hAnsi="Times New Roman"/>
          <w:color w:val="auto"/>
          <w:highlight w:val="none"/>
        </w:rPr>
        <w:t>包装等于一体的冷链物流体系，提高澄海狮头鹅产品保鲜品质，提高产品质量</w:t>
      </w:r>
      <w:r>
        <w:rPr>
          <w:rFonts w:hint="eastAsia" w:ascii="Times New Roman" w:hAnsi="Times New Roman"/>
          <w:color w:val="auto"/>
          <w:highlight w:val="none"/>
          <w:lang w:eastAsia="zh-CN"/>
        </w:rPr>
        <w:t>。</w:t>
      </w:r>
      <w:r>
        <w:rPr>
          <w:rFonts w:hint="eastAsia" w:ascii="Times New Roman" w:hAnsi="Times New Roman"/>
          <w:b w:val="0"/>
          <w:bCs w:val="0"/>
          <w:color w:val="auto"/>
          <w:highlight w:val="none"/>
          <w:lang w:val="en-US" w:eastAsia="zh-CN"/>
        </w:rPr>
        <w:t>到2026年，产业园</w:t>
      </w:r>
      <w:r>
        <w:rPr>
          <w:rFonts w:hint="eastAsia" w:ascii="Times New Roman" w:hAnsi="Times New Roman"/>
          <w:b w:val="0"/>
          <w:bCs w:val="0"/>
          <w:color w:val="auto"/>
          <w:highlight w:val="none"/>
          <w:lang w:eastAsia="zh-CN"/>
        </w:rPr>
        <w:t>农产品冷链流通率</w:t>
      </w:r>
      <w:r>
        <w:rPr>
          <w:rFonts w:hint="eastAsia" w:ascii="Times New Roman" w:hAnsi="Times New Roman"/>
          <w:b w:val="0"/>
          <w:bCs w:val="0"/>
          <w:color w:val="auto"/>
          <w:highlight w:val="none"/>
          <w:lang w:val="en-US" w:eastAsia="zh-CN"/>
        </w:rPr>
        <w:t>达60%以上</w:t>
      </w:r>
      <w:r>
        <w:rPr>
          <w:rFonts w:hint="default" w:ascii="Times New Roman" w:hAnsi="Times New Roman"/>
          <w:b w:val="0"/>
          <w:bCs w:val="0"/>
          <w:color w:val="auto"/>
          <w:highlight w:val="none"/>
        </w:rPr>
        <w:t>。</w:t>
      </w:r>
    </w:p>
    <w:p w14:paraId="043FC860">
      <w:pPr>
        <w:pStyle w:val="4"/>
        <w:pageBreakBefore w:val="0"/>
        <w:kinsoku/>
        <w:overflowPunct/>
        <w:topLinePunct w:val="0"/>
        <w:autoSpaceDE/>
        <w:autoSpaceDN/>
        <w:bidi w:val="0"/>
        <w:adjustRightInd/>
        <w:snapToGrid/>
        <w:spacing w:line="240" w:lineRule="auto"/>
        <w:rPr>
          <w:rFonts w:hint="default" w:ascii="Times New Roman" w:hAnsi="Times New Roman" w:cs="仿宋_GB2312"/>
          <w:color w:val="auto"/>
          <w:sz w:val="32"/>
          <w:szCs w:val="32"/>
          <w:highlight w:val="none"/>
          <w:lang w:val="en-US" w:eastAsia="zh-CN"/>
        </w:rPr>
      </w:pPr>
      <w:bookmarkStart w:id="158" w:name="_Toc17888"/>
      <w:bookmarkStart w:id="159" w:name="_Toc22677"/>
      <w:r>
        <w:rPr>
          <w:rFonts w:hint="default" w:ascii="Times New Roman" w:hAnsi="Times New Roman" w:cs="仿宋_GB2312"/>
          <w:color w:val="auto"/>
          <w:sz w:val="32"/>
          <w:szCs w:val="32"/>
          <w:highlight w:val="none"/>
          <w:lang w:val="en-US" w:eastAsia="zh-CN"/>
        </w:rPr>
        <w:t>2.建设预制菜精深加工产品集聚地，留住舌尖上的“潮味”乡愁</w:t>
      </w:r>
      <w:bookmarkEnd w:id="158"/>
      <w:bookmarkEnd w:id="159"/>
    </w:p>
    <w:p w14:paraId="703F965A">
      <w:pPr>
        <w:pageBreakBefore w:val="0"/>
        <w:kinsoku/>
        <w:overflowPunct/>
        <w:topLinePunct w:val="0"/>
        <w:autoSpaceDE/>
        <w:autoSpaceDN/>
        <w:bidi w:val="0"/>
        <w:adjustRightInd/>
        <w:snapToGrid/>
        <w:spacing w:line="590" w:lineRule="exact"/>
        <w:ind w:firstLine="640"/>
        <w:rPr>
          <w:rFonts w:hint="eastAsia" w:ascii="Times New Roman" w:hAnsi="Times New Roman" w:cs="Times New Roman"/>
          <w:color w:val="auto"/>
          <w:sz w:val="32"/>
          <w:highlight w:val="none"/>
          <w:lang w:val="en-US" w:eastAsia="zh-CN"/>
        </w:rPr>
      </w:pPr>
      <w:r>
        <w:rPr>
          <w:rFonts w:hint="eastAsia" w:ascii="Times New Roman" w:hAnsi="Times New Roman" w:cs="Times New Roman"/>
          <w:color w:val="auto"/>
          <w:sz w:val="32"/>
          <w:highlight w:val="none"/>
          <w:lang w:val="en-US" w:eastAsia="zh-CN"/>
        </w:rPr>
        <w:t>按照《汕头市加快推进潮汕菜预制菜产业发展工作措施》</w:t>
      </w:r>
      <w:r>
        <w:rPr>
          <w:rFonts w:hint="eastAsia" w:ascii="Times New Roman" w:hAnsi="Times New Roman"/>
          <w:b w:val="0"/>
          <w:bCs w:val="0"/>
          <w:color w:val="auto"/>
          <w:highlight w:val="none"/>
          <w:lang w:val="en-US" w:eastAsia="zh-CN"/>
        </w:rPr>
        <w:t>《关于支持汕头狮头鹅预制菜发展10条倡议》</w:t>
      </w:r>
      <w:r>
        <w:rPr>
          <w:rFonts w:hint="eastAsia" w:ascii="Times New Roman" w:hAnsi="Times New Roman" w:cs="Times New Roman"/>
          <w:color w:val="auto"/>
          <w:sz w:val="32"/>
          <w:highlight w:val="none"/>
          <w:lang w:val="en-US" w:eastAsia="zh-CN"/>
        </w:rPr>
        <w:t>，大力推进澄海区狮头鹅预制菜产业发展，留住“家乡味”“潮味”</w:t>
      </w:r>
      <w:r>
        <w:rPr>
          <w:rFonts w:hint="eastAsia" w:ascii="Times New Roman" w:hAnsi="Times New Roman" w:cs="Times New Roman"/>
          <w:b w:val="0"/>
          <w:bCs w:val="0"/>
          <w:color w:val="auto"/>
          <w:sz w:val="32"/>
          <w:highlight w:val="none"/>
          <w:lang w:val="en-US" w:eastAsia="zh-CN"/>
        </w:rPr>
        <w:t>，联结起海内外潮人的共同记忆</w:t>
      </w:r>
      <w:r>
        <w:rPr>
          <w:rFonts w:hint="eastAsia" w:ascii="Times New Roman" w:hAnsi="Times New Roman" w:cs="Times New Roman"/>
          <w:color w:val="auto"/>
          <w:sz w:val="32"/>
          <w:highlight w:val="none"/>
          <w:lang w:val="en-US" w:eastAsia="zh-CN"/>
        </w:rPr>
        <w:t>。</w:t>
      </w:r>
    </w:p>
    <w:p w14:paraId="14FDAE57">
      <w:pPr>
        <w:pageBreakBefore w:val="0"/>
        <w:kinsoku/>
        <w:overflowPunct/>
        <w:topLinePunct w:val="0"/>
        <w:autoSpaceDE/>
        <w:autoSpaceDN/>
        <w:bidi w:val="0"/>
        <w:adjustRightInd/>
        <w:snapToGrid/>
        <w:spacing w:line="590" w:lineRule="exact"/>
        <w:ind w:firstLine="640"/>
        <w:rPr>
          <w:rFonts w:hint="default" w:ascii="Times New Roman" w:hAnsi="Times New Roman"/>
          <w:b w:val="0"/>
          <w:bCs w:val="0"/>
          <w:color w:val="auto"/>
          <w:highlight w:val="none"/>
          <w:vertAlign w:val="baseline"/>
          <w:lang w:val="en-US" w:eastAsia="zh-CN"/>
        </w:rPr>
      </w:pPr>
      <w:r>
        <w:rPr>
          <w:rFonts w:hint="eastAsia" w:ascii="Times New Roman" w:hAnsi="Times New Roman" w:cs="Times New Roman"/>
          <w:b/>
          <w:bCs/>
          <w:color w:val="auto"/>
          <w:sz w:val="32"/>
          <w:highlight w:val="none"/>
          <w:lang w:val="en-US" w:eastAsia="zh-CN"/>
        </w:rPr>
        <w:t>——提升“产业价值”</w:t>
      </w:r>
      <w:r>
        <w:rPr>
          <w:rFonts w:hint="eastAsia" w:ascii="Times New Roman" w:hAnsi="Times New Roman" w:cs="Times New Roman"/>
          <w:color w:val="auto"/>
          <w:sz w:val="32"/>
          <w:highlight w:val="none"/>
          <w:lang w:val="en-US" w:eastAsia="zh-CN"/>
        </w:rPr>
        <w:t>。围绕澄海狮头鹅预制菜产品生产技术提升、设备升级。</w:t>
      </w:r>
      <w:r>
        <w:rPr>
          <w:rFonts w:hint="eastAsia" w:ascii="Times New Roman" w:hAnsi="Times New Roman" w:cs="Times New Roman"/>
          <w:b/>
          <w:bCs/>
          <w:color w:val="auto"/>
          <w:sz w:val="32"/>
          <w:highlight w:val="none"/>
          <w:lang w:val="en-US" w:eastAsia="zh-CN"/>
        </w:rPr>
        <w:t>一是</w:t>
      </w:r>
      <w:r>
        <w:rPr>
          <w:rFonts w:hint="eastAsia" w:ascii="Times New Roman" w:hAnsi="Times New Roman" w:cs="Times New Roman"/>
          <w:color w:val="auto"/>
          <w:sz w:val="32"/>
          <w:highlight w:val="none"/>
          <w:lang w:val="en-US" w:eastAsia="zh-CN"/>
        </w:rPr>
        <w:t>加强鹅肉分割和深加工、保鲜技术研究，使卤鹅、鹅肉丸等产品适合于长途运输，延长保质时间，保持产品的风味、颜色，加速狮头鹅相关产品远销外地；</w:t>
      </w:r>
      <w:r>
        <w:rPr>
          <w:rFonts w:hint="eastAsia" w:ascii="Times New Roman" w:hAnsi="Times New Roman" w:cs="Times New Roman"/>
          <w:b/>
          <w:bCs/>
          <w:color w:val="auto"/>
          <w:sz w:val="32"/>
          <w:highlight w:val="none"/>
          <w:lang w:val="en-US" w:eastAsia="zh-CN"/>
        </w:rPr>
        <w:t>二是</w:t>
      </w:r>
      <w:r>
        <w:rPr>
          <w:rFonts w:hint="eastAsia" w:ascii="Times New Roman" w:hAnsi="Times New Roman" w:cs="Times New Roman"/>
          <w:color w:val="auto"/>
          <w:sz w:val="32"/>
          <w:highlight w:val="none"/>
          <w:lang w:val="en-US" w:eastAsia="zh-CN"/>
        </w:rPr>
        <w:t>支持卤鹅生产工艺标准化和生产过程自动化建设，鼓励推广全自动卤鹅设施设备在狮头鹅食品加工行业的应用，</w:t>
      </w:r>
      <w:r>
        <w:rPr>
          <w:rFonts w:hint="eastAsia" w:ascii="Times New Roman" w:hAnsi="Times New Roman" w:cs="Times New Roman"/>
          <w:b/>
          <w:bCs/>
          <w:color w:val="auto"/>
          <w:sz w:val="32"/>
          <w:highlight w:val="none"/>
          <w:lang w:val="en-US" w:eastAsia="zh-CN"/>
        </w:rPr>
        <w:t>实现</w:t>
      </w:r>
      <w:r>
        <w:rPr>
          <w:rFonts w:hint="eastAsia" w:ascii="Times New Roman" w:hAnsi="Times New Roman"/>
          <w:b/>
          <w:bCs/>
          <w:color w:val="auto"/>
          <w:highlight w:val="none"/>
          <w:vertAlign w:val="baseline"/>
          <w:lang w:val="en-US" w:eastAsia="zh-CN"/>
        </w:rPr>
        <w:t>提升产能5倍，节约成本20%。三是</w:t>
      </w:r>
      <w:r>
        <w:rPr>
          <w:rFonts w:hint="eastAsia" w:ascii="Times New Roman" w:hAnsi="Times New Roman"/>
          <w:b w:val="0"/>
          <w:bCs w:val="0"/>
          <w:color w:val="auto"/>
          <w:highlight w:val="none"/>
          <w:vertAlign w:val="baseline"/>
          <w:lang w:val="en-US" w:eastAsia="zh-CN"/>
        </w:rPr>
        <w:t>推动狮头鹅食品多元化发展。以市场为导向，积极引用现代技术与装备，建设狮头鹅鹅肉丸、羽绒等产品深加工基地，延伸狮头鹅产业链条，提高综合经济效益，狮头鹅加工转化率达93%。</w:t>
      </w:r>
    </w:p>
    <w:p w14:paraId="253AC1F8">
      <w:pPr>
        <w:pageBreakBefore w:val="0"/>
        <w:kinsoku/>
        <w:overflowPunct/>
        <w:topLinePunct w:val="0"/>
        <w:autoSpaceDE/>
        <w:autoSpaceDN/>
        <w:bidi w:val="0"/>
        <w:adjustRightInd/>
        <w:snapToGrid/>
        <w:spacing w:line="590" w:lineRule="exact"/>
        <w:ind w:firstLine="640"/>
        <w:rPr>
          <w:rFonts w:hint="default" w:ascii="Times New Roman" w:hAnsi="Times New Roman" w:cs="Times New Roman"/>
          <w:color w:val="auto"/>
          <w:sz w:val="32"/>
          <w:highlight w:val="none"/>
          <w:lang w:val="en-US" w:eastAsia="zh-CN"/>
        </w:rPr>
      </w:pPr>
      <w:r>
        <w:rPr>
          <w:rFonts w:hint="eastAsia" w:ascii="Times New Roman" w:hAnsi="Times New Roman" w:cs="Times New Roman"/>
          <w:b/>
          <w:bCs/>
          <w:color w:val="auto"/>
          <w:sz w:val="32"/>
          <w:highlight w:val="none"/>
          <w:lang w:val="en-US" w:eastAsia="zh-CN"/>
        </w:rPr>
        <w:t>——提升“推广”模式</w:t>
      </w:r>
      <w:r>
        <w:rPr>
          <w:rFonts w:hint="eastAsia" w:ascii="Times New Roman" w:hAnsi="Times New Roman" w:cs="Times New Roman"/>
          <w:color w:val="auto"/>
          <w:sz w:val="32"/>
          <w:highlight w:val="none"/>
          <w:lang w:val="en-US" w:eastAsia="zh-CN"/>
        </w:rPr>
        <w:t>。大力推广“狮头鹅原料基地+预制菜+物流配送”“预制菜+餐饮门店”“预制菜+电商”“预制菜+出口创汇”等新模式。用好省“保供稳价安心”数字平台，主动对接融入粤港澳大湾区和深圳先行示范区大市场。支持狮头鹅大型连锁品牌企业建设；支持企业建立独立的电商应用平台、直播基地销售澄海狮头鹅产品；支持开发狮头鹅系列菜品。依托实施“粤菜师傅”工程，培训一批粤菜师傅，开发以狮头鹅为主要原材料的全鹅宴，创新色香味俱全的狮头鹅子菜品；研究开发狮头鹅各种用途专用品种，满足人们多层次消费水平，提高狮头鹅养殖综合经济效益。到2026年，在省内外建立狮头产品销售网点50个。</w:t>
      </w:r>
    </w:p>
    <w:p w14:paraId="63CC2FB5">
      <w:pPr>
        <w:pStyle w:val="4"/>
        <w:keepNext w:val="0"/>
        <w:keepLines/>
        <w:pageBreakBefore w:val="0"/>
        <w:widowControl/>
        <w:kinsoku/>
        <w:wordWrap/>
        <w:overflowPunct/>
        <w:topLinePunct w:val="0"/>
        <w:autoSpaceDE/>
        <w:autoSpaceDN/>
        <w:bidi w:val="0"/>
        <w:adjustRightInd/>
        <w:snapToGrid/>
        <w:spacing w:line="590" w:lineRule="exact"/>
        <w:ind w:firstLine="640" w:firstLineChars="0"/>
        <w:textAlignment w:val="auto"/>
        <w:outlineLvl w:val="1"/>
        <w:rPr>
          <w:rFonts w:hint="default" w:ascii="Times New Roman" w:hAnsi="Times New Roman" w:eastAsia="楷体_GB2312" w:cs="楷体_GB2312"/>
          <w:b/>
          <w:bCs w:val="0"/>
          <w:color w:val="auto"/>
          <w:highlight w:val="none"/>
          <w:lang w:val="en-US" w:eastAsia="zh-CN"/>
        </w:rPr>
      </w:pPr>
      <w:bookmarkStart w:id="160" w:name="_Toc16186"/>
      <w:bookmarkStart w:id="161" w:name="_Toc21053"/>
      <w:bookmarkStart w:id="162" w:name="_Toc3385"/>
      <w:bookmarkStart w:id="163" w:name="_Toc19659"/>
      <w:bookmarkStart w:id="164" w:name="_Toc10736"/>
      <w:bookmarkStart w:id="165" w:name="_Toc19834"/>
      <w:r>
        <w:rPr>
          <w:rFonts w:hint="eastAsia" w:ascii="Times New Roman" w:hAnsi="Times New Roman" w:eastAsia="楷体_GB2312" w:cs="楷体_GB2312"/>
          <w:b/>
          <w:bCs w:val="0"/>
          <w:color w:val="auto"/>
          <w:highlight w:val="none"/>
          <w:lang w:val="en-US" w:eastAsia="zh-CN"/>
        </w:rPr>
        <w:t>（三）现代要素加速集聚，构建共建共享现代农业产业体系</w:t>
      </w:r>
      <w:bookmarkEnd w:id="160"/>
    </w:p>
    <w:bookmarkEnd w:id="161"/>
    <w:bookmarkEnd w:id="162"/>
    <w:bookmarkEnd w:id="163"/>
    <w:bookmarkEnd w:id="164"/>
    <w:bookmarkEnd w:id="165"/>
    <w:p w14:paraId="4B704B85">
      <w:pPr>
        <w:pageBreakBefore w:val="0"/>
        <w:kinsoku/>
        <w:overflowPunct/>
        <w:topLinePunct w:val="0"/>
        <w:autoSpaceDE/>
        <w:autoSpaceDN/>
        <w:bidi w:val="0"/>
        <w:adjustRightInd/>
        <w:snapToGrid/>
        <w:spacing w:line="590" w:lineRule="exact"/>
        <w:ind w:firstLine="640"/>
        <w:rPr>
          <w:rFonts w:hint="default" w:ascii="Times New Roman" w:hAnsi="Times New Roman" w:eastAsia="仿宋_GB2312" w:cs="Times New Roman"/>
          <w:color w:val="auto"/>
          <w:sz w:val="32"/>
          <w:highlight w:val="none"/>
        </w:rPr>
      </w:pPr>
      <w:r>
        <w:rPr>
          <w:rFonts w:hint="eastAsia" w:ascii="Times New Roman" w:hAnsi="Times New Roman" w:cs="Times New Roman"/>
          <w:color w:val="auto"/>
          <w:sz w:val="32"/>
          <w:highlight w:val="none"/>
          <w:lang w:val="en-US" w:eastAsia="zh-CN"/>
        </w:rPr>
        <w:t>优化资源配置，加速科技、资金、人才、土地、政策等现代要素往产业园集聚，打造创新创业平台，引进培育狮头鹅新型经营主体，以科技带动狮头鹅产业创新，以品牌宣传带动狮头鹅产品营销，打造狮头鹅产业集群。</w:t>
      </w:r>
      <w:r>
        <w:rPr>
          <w:rFonts w:hint="eastAsia" w:ascii="Times New Roman" w:hAnsi="Times New Roman"/>
          <w:color w:val="auto"/>
          <w:highlight w:val="none"/>
          <w:lang w:val="en-US" w:eastAsia="zh-CN"/>
        </w:rPr>
        <w:t>不断</w:t>
      </w:r>
      <w:r>
        <w:rPr>
          <w:rFonts w:hint="default" w:ascii="Times New Roman" w:hAnsi="Times New Roman" w:eastAsia="仿宋_GB2312" w:cs="Times New Roman"/>
          <w:color w:val="auto"/>
          <w:sz w:val="32"/>
          <w:highlight w:val="none"/>
        </w:rPr>
        <w:t>深化农村综合改革，推进多种形式的农业适度规模经营，强化农业社会化服务组织能力，优化农村创业创新的政策环境，以推进农村</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双创</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培育农业发展新动能</w:t>
      </w:r>
      <w:r>
        <w:rPr>
          <w:rFonts w:hint="eastAsia" w:ascii="Times New Roman" w:hAnsi="Times New Roman" w:cs="Times New Roman"/>
          <w:color w:val="auto"/>
          <w:sz w:val="32"/>
          <w:highlight w:val="none"/>
          <w:lang w:eastAsia="zh-CN"/>
        </w:rPr>
        <w:t>，</w:t>
      </w:r>
      <w:r>
        <w:rPr>
          <w:rFonts w:hint="eastAsia" w:ascii="Times New Roman" w:hAnsi="Times New Roman" w:cs="Times New Roman"/>
          <w:color w:val="auto"/>
          <w:sz w:val="32"/>
          <w:highlight w:val="none"/>
          <w:lang w:val="en-US" w:eastAsia="zh-CN"/>
        </w:rPr>
        <w:t>以创业带就业，持续带动农户增收，</w:t>
      </w:r>
      <w:r>
        <w:rPr>
          <w:rFonts w:hint="default" w:ascii="Times New Roman" w:hAnsi="Times New Roman" w:eastAsia="仿宋_GB2312" w:cs="Times New Roman"/>
          <w:color w:val="auto"/>
          <w:sz w:val="32"/>
          <w:highlight w:val="none"/>
        </w:rPr>
        <w:t>打造农业发展新引擎。</w:t>
      </w:r>
    </w:p>
    <w:p w14:paraId="24A77D4C">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 w:val="32"/>
          <w:szCs w:val="32"/>
          <w:highlight w:val="none"/>
          <w:lang w:val="en-US" w:eastAsia="zh-CN"/>
        </w:rPr>
      </w:pPr>
      <w:bookmarkStart w:id="166" w:name="_Toc14043"/>
      <w:bookmarkStart w:id="167" w:name="_Toc16676"/>
      <w:bookmarkStart w:id="168" w:name="_Toc32754"/>
      <w:bookmarkStart w:id="169" w:name="_Toc30090"/>
      <w:r>
        <w:rPr>
          <w:rFonts w:hint="eastAsia" w:ascii="Times New Roman" w:hAnsi="Times New Roman" w:cs="仿宋_GB2312"/>
          <w:color w:val="auto"/>
          <w:sz w:val="32"/>
          <w:szCs w:val="32"/>
          <w:highlight w:val="none"/>
          <w:lang w:val="en-US" w:eastAsia="zh-CN"/>
        </w:rPr>
        <w:t>1.强化狮头鹅种质资源保护研究及全产业链关键技术创新</w:t>
      </w:r>
    </w:p>
    <w:p w14:paraId="5ED4848C">
      <w:pPr>
        <w:pageBreakBefore w:val="0"/>
        <w:kinsoku/>
        <w:overflowPunct/>
        <w:topLinePunct w:val="0"/>
        <w:autoSpaceDE/>
        <w:autoSpaceDN/>
        <w:bidi w:val="0"/>
        <w:adjustRightInd/>
        <w:snapToGrid/>
        <w:spacing w:line="240" w:lineRule="auto"/>
        <w:rPr>
          <w:rFonts w:hint="default" w:ascii="Times New Roman" w:hAnsi="Times New Roman" w:eastAsia="仿宋_GB2312" w:cs="Times New Roman"/>
          <w:b w:val="0"/>
          <w:bCs w:val="0"/>
          <w:color w:val="auto"/>
          <w:sz w:val="32"/>
          <w:highlight w:val="none"/>
        </w:rPr>
      </w:pPr>
      <w:r>
        <w:rPr>
          <w:rFonts w:hint="default" w:ascii="Times New Roman" w:hAnsi="Times New Roman" w:eastAsia="仿宋_GB2312" w:cs="Times New Roman"/>
          <w:color w:val="auto"/>
          <w:sz w:val="32"/>
          <w:highlight w:val="none"/>
        </w:rPr>
        <w:t>支持国家水禽产业技术体系综合试验站（白沙）、广东省农科院汕头分院开展狮头鹅良种联合攻关，</w:t>
      </w:r>
      <w:r>
        <w:rPr>
          <w:rFonts w:hint="eastAsia" w:ascii="Times New Roman" w:hAnsi="Times New Roman" w:cs="Times New Roman"/>
          <w:color w:val="auto"/>
          <w:sz w:val="32"/>
          <w:highlight w:val="none"/>
          <w:lang w:val="en-US" w:eastAsia="zh-CN"/>
        </w:rPr>
        <w:t>深化狮头鹅</w:t>
      </w:r>
      <w:r>
        <w:rPr>
          <w:rFonts w:hint="default" w:ascii="Times New Roman" w:hAnsi="Times New Roman" w:eastAsia="仿宋_GB2312" w:cs="Times New Roman"/>
          <w:color w:val="auto"/>
          <w:sz w:val="32"/>
          <w:highlight w:val="none"/>
        </w:rPr>
        <w:t>高水平种质资源</w:t>
      </w:r>
      <w:r>
        <w:rPr>
          <w:rFonts w:hint="eastAsia" w:ascii="Times New Roman" w:hAnsi="Times New Roman" w:cs="Times New Roman"/>
          <w:color w:val="auto"/>
          <w:sz w:val="32"/>
          <w:highlight w:val="none"/>
          <w:lang w:eastAsia="zh-CN"/>
        </w:rPr>
        <w:t>研究</w:t>
      </w:r>
      <w:r>
        <w:rPr>
          <w:rFonts w:hint="default" w:ascii="Times New Roman" w:hAnsi="Times New Roman" w:eastAsia="仿宋_GB2312" w:cs="Times New Roman"/>
          <w:color w:val="auto"/>
          <w:sz w:val="32"/>
          <w:highlight w:val="none"/>
        </w:rPr>
        <w:t>，积极推动建立狮头鹅分子遗传育种实验室，对狮头鹅群体的基因组重测序和表型精准鉴定评价，对控制狮头鹅重要经济性状（如产蛋数、头形、头宽、肝脏、鹅掌、羽色、重量）等基因定位，</w:t>
      </w:r>
      <w:r>
        <w:rPr>
          <w:rFonts w:hint="eastAsia" w:ascii="Times New Roman" w:hAnsi="Times New Roman" w:cs="Times New Roman"/>
          <w:color w:val="auto"/>
          <w:sz w:val="32"/>
          <w:highlight w:val="none"/>
          <w:lang w:val="en-US" w:eastAsia="zh-CN"/>
        </w:rPr>
        <w:t>构建</w:t>
      </w:r>
      <w:r>
        <w:rPr>
          <w:rFonts w:hint="default" w:ascii="Times New Roman" w:hAnsi="Times New Roman" w:eastAsia="仿宋_GB2312" w:cs="Times New Roman"/>
          <w:color w:val="auto"/>
          <w:sz w:val="32"/>
          <w:highlight w:val="none"/>
        </w:rPr>
        <w:t>具有全国影响力、国际一流的狮头鹅种质资源库及全国性狮头鹅种质资源搜集保存基地，进一步发掘有重要育种价值的优异基因和标记用于狮头鹅品种选育</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不断培育开发优良品种，加强新品种（配套系）选育和扩繁</w:t>
      </w:r>
      <w:r>
        <w:rPr>
          <w:rFonts w:hint="eastAsia" w:ascii="Times New Roman" w:hAnsi="Times New Roman" w:cs="Times New Roman"/>
          <w:color w:val="auto"/>
          <w:sz w:val="32"/>
          <w:highlight w:val="none"/>
          <w:lang w:eastAsia="zh-CN"/>
        </w:rPr>
        <w:t>。</w:t>
      </w:r>
      <w:r>
        <w:rPr>
          <w:rFonts w:hint="eastAsia" w:ascii="Times New Roman" w:hAnsi="Times New Roman" w:cs="Times New Roman"/>
          <w:color w:val="auto"/>
          <w:sz w:val="32"/>
          <w:highlight w:val="none"/>
          <w:lang w:val="en-US" w:eastAsia="zh-CN"/>
        </w:rPr>
        <w:t>聚焦</w:t>
      </w:r>
      <w:r>
        <w:rPr>
          <w:rFonts w:hint="eastAsia" w:ascii="Times New Roman" w:hAnsi="Times New Roman" w:cs="仿宋_GB2312"/>
          <w:color w:val="auto"/>
          <w:sz w:val="32"/>
          <w:szCs w:val="32"/>
          <w:highlight w:val="none"/>
          <w:lang w:val="en-US" w:eastAsia="zh-CN" w:bidi="ar-SA"/>
        </w:rPr>
        <w:t>肉用鹅配套系、白羽狮头鹅、狮头鹅高繁殖性能和高生长速度等优质新品培育、狮头鹅反季节生产技术研究与应用、肉鹅新型饲养方式研究和肉鹅营养需求与饲料配置技术、肉鹅旱养技术、狮头鹅健康养殖和疫病防控技术以及狮头鹅屠宰、卤制、冷链、销售等关键环节技术研发，加快科技成果转化。引进国内外先进设备，根据市场需求开发狮头鹅不同品类高新技术产品。</w:t>
      </w:r>
      <w:r>
        <w:rPr>
          <w:rFonts w:hint="eastAsia" w:ascii="Times New Roman" w:hAnsi="Times New Roman" w:cs="Times New Roman"/>
          <w:b w:val="0"/>
          <w:bCs w:val="0"/>
          <w:color w:val="auto"/>
          <w:sz w:val="32"/>
          <w:highlight w:val="none"/>
          <w:lang w:val="en-US" w:eastAsia="zh-CN"/>
        </w:rPr>
        <w:t>到2026年，与4家省级以上科研单位设立研发平台，科研经费投入达2800万元以上，</w:t>
      </w:r>
      <w:r>
        <w:rPr>
          <w:rFonts w:hint="default" w:ascii="Times New Roman" w:hAnsi="Times New Roman" w:eastAsia="仿宋_GB2312" w:cs="Times New Roman"/>
          <w:b w:val="0"/>
          <w:bCs w:val="0"/>
          <w:color w:val="auto"/>
          <w:sz w:val="32"/>
          <w:highlight w:val="none"/>
        </w:rPr>
        <w:t>每年为社会提供纯种父母代狮头鹅2万只以上</w:t>
      </w:r>
      <w:r>
        <w:rPr>
          <w:rFonts w:hint="eastAsia" w:ascii="Times New Roman" w:hAnsi="Times New Roman" w:cs="Times New Roman"/>
          <w:b w:val="0"/>
          <w:bCs w:val="0"/>
          <w:color w:val="auto"/>
          <w:sz w:val="32"/>
          <w:highlight w:val="none"/>
          <w:lang w:eastAsia="zh-CN"/>
        </w:rPr>
        <w:t>，研究开发狮头鹅全产业链关键技术3项</w:t>
      </w:r>
      <w:r>
        <w:rPr>
          <w:rFonts w:hint="default" w:ascii="Times New Roman" w:hAnsi="Times New Roman" w:eastAsia="仿宋_GB2312" w:cs="Times New Roman"/>
          <w:b w:val="0"/>
          <w:bCs w:val="0"/>
          <w:color w:val="auto"/>
          <w:sz w:val="32"/>
          <w:highlight w:val="none"/>
        </w:rPr>
        <w:t>。</w:t>
      </w:r>
    </w:p>
    <w:p w14:paraId="36C0AFE4">
      <w:pPr>
        <w:pStyle w:val="4"/>
        <w:rPr>
          <w:rFonts w:hint="default" w:ascii="Times New Roman" w:hAnsi="Times New Roman" w:cs="仿宋_GB2312"/>
          <w:color w:val="auto"/>
          <w:sz w:val="32"/>
          <w:szCs w:val="32"/>
          <w:highlight w:val="none"/>
          <w:lang w:val="en-US" w:eastAsia="zh-CN"/>
        </w:rPr>
      </w:pPr>
      <w:r>
        <w:rPr>
          <w:rFonts w:hint="eastAsia" w:ascii="Times New Roman" w:hAnsi="Times New Roman" w:cs="仿宋_GB2312"/>
          <w:color w:val="auto"/>
          <w:sz w:val="32"/>
          <w:szCs w:val="32"/>
          <w:highlight w:val="none"/>
          <w:lang w:val="en-US" w:eastAsia="zh-CN"/>
        </w:rPr>
        <w:t>2.</w:t>
      </w:r>
      <w:r>
        <w:rPr>
          <w:rFonts w:hint="default" w:ascii="Times New Roman" w:hAnsi="Times New Roman" w:cs="仿宋_GB2312"/>
          <w:color w:val="auto"/>
          <w:sz w:val="32"/>
          <w:szCs w:val="32"/>
          <w:highlight w:val="none"/>
          <w:lang w:val="en-US" w:eastAsia="zh-CN"/>
        </w:rPr>
        <w:t>加快构建狮头鹅</w:t>
      </w:r>
      <w:r>
        <w:rPr>
          <w:rFonts w:hint="eastAsia" w:ascii="Times New Roman" w:hAnsi="Times New Roman" w:cs="仿宋_GB2312"/>
          <w:color w:val="auto"/>
          <w:sz w:val="32"/>
          <w:szCs w:val="32"/>
          <w:highlight w:val="none"/>
          <w:lang w:val="en-US" w:eastAsia="zh-CN"/>
        </w:rPr>
        <w:t>产业</w:t>
      </w:r>
      <w:r>
        <w:rPr>
          <w:rFonts w:hint="default" w:ascii="Times New Roman" w:hAnsi="Times New Roman" w:cs="仿宋_GB2312"/>
          <w:color w:val="auto"/>
          <w:sz w:val="32"/>
          <w:szCs w:val="32"/>
          <w:highlight w:val="none"/>
          <w:lang w:val="en-US" w:eastAsia="zh-CN"/>
        </w:rPr>
        <w:t>高层次人才队伍体系，全面提升产业竞争力</w:t>
      </w:r>
    </w:p>
    <w:p w14:paraId="7959EB12">
      <w:pPr>
        <w:pageBreakBefore w:val="0"/>
        <w:kinsoku/>
        <w:overflowPunct/>
        <w:topLinePunct w:val="0"/>
        <w:autoSpaceDE/>
        <w:autoSpaceDN/>
        <w:bidi w:val="0"/>
        <w:adjustRightInd/>
        <w:snapToGrid/>
        <w:spacing w:line="590" w:lineRule="exact"/>
        <w:ind w:firstLine="640"/>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rPr>
        <w:t>深入实施狮头鹅种业人才优先发展战略，依托重大科技项目、重要创新平台和重点创业基地，对接国家</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千人计划</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万人计划</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加大高层次领军型、复合型创新人才的培养和引进，完善高层次和急需技术人才引进奖励激励政策，建立高端人才绿色服务通道，引进国际有影响力的狮头鹅育种权威人才，以及一批科技创新创业团队。建立健全狮头鹅人才团队扶持机制，尊重狮头鹅科技发展和科技人才成长规律，坚持人才、基地、项目相结合，加大对创新团队支持，实施狮头鹅创新人才推进计划，造就具有原始创新能力的种业科学家队伍，建设</w:t>
      </w:r>
      <w:r>
        <w:rPr>
          <w:rFonts w:hint="eastAsia" w:ascii="Times New Roman" w:hAnsi="Times New Roman" w:cs="Times New Roman"/>
          <w:color w:val="auto"/>
          <w:sz w:val="32"/>
          <w:highlight w:val="none"/>
          <w:lang w:val="en-US" w:eastAsia="zh-CN"/>
        </w:rPr>
        <w:t>狮头产业</w:t>
      </w:r>
      <w:r>
        <w:rPr>
          <w:rFonts w:hint="default" w:ascii="Times New Roman" w:hAnsi="Times New Roman" w:eastAsia="仿宋_GB2312" w:cs="Times New Roman"/>
          <w:color w:val="auto"/>
          <w:sz w:val="32"/>
          <w:highlight w:val="none"/>
        </w:rPr>
        <w:t>创新团队，培育科技管理、科技服务和科普等人才队伍。鼓励狮头鹅种业领域的一流高等院校、科研机构在产业园设立研究中心和产学研基地，支持高校、科研机构和狮头鹅种业企业设立</w:t>
      </w:r>
      <w:r>
        <w:rPr>
          <w:rFonts w:hint="eastAsia" w:ascii="Times New Roman" w:hAnsi="Times New Roman" w:cs="Times New Roman"/>
          <w:color w:val="auto"/>
          <w:sz w:val="32"/>
          <w:highlight w:val="none"/>
          <w:lang w:val="en-US" w:eastAsia="zh-CN"/>
        </w:rPr>
        <w:t>博士</w:t>
      </w:r>
      <w:r>
        <w:rPr>
          <w:rFonts w:hint="default" w:ascii="Times New Roman" w:hAnsi="Times New Roman" w:eastAsia="仿宋_GB2312" w:cs="Times New Roman"/>
          <w:color w:val="auto"/>
          <w:sz w:val="32"/>
          <w:highlight w:val="none"/>
        </w:rPr>
        <w:t>工作站和创新实践基地。加强狮头鹅</w:t>
      </w:r>
      <w:r>
        <w:rPr>
          <w:rFonts w:hint="eastAsia" w:ascii="Times New Roman" w:hAnsi="Times New Roman" w:cs="Times New Roman"/>
          <w:color w:val="auto"/>
          <w:sz w:val="32"/>
          <w:highlight w:val="none"/>
          <w:lang w:val="en-US" w:eastAsia="zh-CN"/>
        </w:rPr>
        <w:t>产业</w:t>
      </w:r>
      <w:r>
        <w:rPr>
          <w:rFonts w:hint="default" w:ascii="Times New Roman" w:hAnsi="Times New Roman" w:eastAsia="仿宋_GB2312" w:cs="Times New Roman"/>
          <w:color w:val="auto"/>
          <w:sz w:val="32"/>
          <w:highlight w:val="none"/>
        </w:rPr>
        <w:t>技术培训，对狮头鹅种业企业科研、生产、检验、营销、管理等人员进行定期培训，严格狮头鹅种业行政执法人员资格考核。</w:t>
      </w:r>
      <w:r>
        <w:rPr>
          <w:rFonts w:hint="eastAsia" w:ascii="Times New Roman" w:hAnsi="Times New Roman" w:cs="Times New Roman"/>
          <w:color w:val="auto"/>
          <w:sz w:val="32"/>
          <w:highlight w:val="none"/>
          <w:lang w:val="en-US" w:eastAsia="zh-CN"/>
        </w:rPr>
        <w:t>到2026年，建立博士工作站或产学研等科研基地4个，培育狮头鹅科技人才100人以上。</w:t>
      </w:r>
    </w:p>
    <w:p w14:paraId="7DFD2E3F">
      <w:pPr>
        <w:pStyle w:val="4"/>
        <w:pageBreakBefore w:val="0"/>
        <w:kinsoku/>
        <w:overflowPunct/>
        <w:topLinePunct w:val="0"/>
        <w:autoSpaceDE/>
        <w:autoSpaceDN/>
        <w:bidi w:val="0"/>
        <w:adjustRightInd/>
        <w:snapToGrid/>
        <w:spacing w:line="240" w:lineRule="auto"/>
        <w:rPr>
          <w:rFonts w:hint="default" w:ascii="Times New Roman" w:hAnsi="Times New Roman" w:cs="仿宋_GB2312"/>
          <w:color w:val="auto"/>
          <w:sz w:val="32"/>
          <w:szCs w:val="32"/>
          <w:highlight w:val="none"/>
          <w:lang w:val="en-US" w:eastAsia="zh-CN"/>
        </w:rPr>
      </w:pPr>
      <w:r>
        <w:rPr>
          <w:rFonts w:hint="eastAsia" w:ascii="Times New Roman" w:hAnsi="Times New Roman" w:cs="仿宋_GB2312"/>
          <w:color w:val="auto"/>
          <w:sz w:val="32"/>
          <w:szCs w:val="32"/>
          <w:highlight w:val="none"/>
          <w:lang w:val="en-US" w:eastAsia="zh-CN"/>
        </w:rPr>
        <w:t>3</w:t>
      </w:r>
      <w:r>
        <w:rPr>
          <w:rFonts w:hint="default" w:ascii="Times New Roman" w:hAnsi="Times New Roman" w:cs="仿宋_GB2312"/>
          <w:color w:val="auto"/>
          <w:sz w:val="32"/>
          <w:szCs w:val="32"/>
          <w:highlight w:val="none"/>
          <w:lang w:val="en-US" w:eastAsia="zh-CN"/>
        </w:rPr>
        <w:t>.建设水禽产品质量安全追溯体系，守护“舌尖上的安全”</w:t>
      </w:r>
    </w:p>
    <w:p w14:paraId="439B4252">
      <w:pPr>
        <w:pageBreakBefore w:val="0"/>
        <w:kinsoku/>
        <w:overflowPunct/>
        <w:topLinePunct w:val="0"/>
        <w:autoSpaceDE/>
        <w:autoSpaceDN/>
        <w:bidi w:val="0"/>
        <w:adjustRightInd/>
        <w:snapToGrid/>
        <w:spacing w:line="590" w:lineRule="exact"/>
        <w:ind w:firstLine="632"/>
        <w:rPr>
          <w:rFonts w:hint="default" w:ascii="Times New Roman" w:hAnsi="Times New Roman" w:eastAsia="仿宋_GB2312"/>
          <w:color w:val="auto"/>
          <w:highlight w:val="none"/>
          <w:lang w:val="en-US" w:eastAsia="zh-CN"/>
        </w:rPr>
      </w:pPr>
      <w:r>
        <w:rPr>
          <w:rFonts w:hint="eastAsia" w:ascii="Times New Roman" w:hAnsi="Times New Roman"/>
          <w:color w:val="auto"/>
          <w:highlight w:val="none"/>
        </w:rPr>
        <w:t>建立健全狮头鹅溯源体系，综合运用多种网络技术、条码识别等前沿技术，具有狮头鹅生产企业（基地等）、狮头鹅生产档案（产地环境、生产流程、质量检测）管理、检测数据（企业自检、检测中心抽检）管理、条形码标签设计和打印、基于网站和手机短信平台的质量安全溯源等功能，实现了对农业生产、流通等环节信息的溯源管理</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园内农产品质量安全追溯管理比例达到100%</w:t>
      </w:r>
      <w:r>
        <w:rPr>
          <w:rFonts w:hint="eastAsia" w:ascii="Times New Roman" w:hAnsi="Times New Roman"/>
          <w:color w:val="auto"/>
          <w:highlight w:val="none"/>
        </w:rPr>
        <w:t>。建立健全农产品质量安全认证体系，开展“两品一标”认证，提高澄海区农产品质量安全水平，推动农业数量、质量、效益统一，打造农产品质量安全公共品牌。</w:t>
      </w:r>
      <w:r>
        <w:rPr>
          <w:rFonts w:hint="eastAsia" w:ascii="Times New Roman" w:hAnsi="Times New Roman"/>
          <w:color w:val="auto"/>
          <w:highlight w:val="none"/>
          <w:lang w:val="en-US" w:eastAsia="zh-CN"/>
        </w:rPr>
        <w:t>到2026年，“两品一标”认证面积达到8300亩。</w:t>
      </w:r>
    </w:p>
    <w:p w14:paraId="34428437">
      <w:pPr>
        <w:pStyle w:val="4"/>
        <w:pageBreakBefore w:val="0"/>
        <w:kinsoku/>
        <w:overflowPunct/>
        <w:topLinePunct w:val="0"/>
        <w:autoSpaceDE/>
        <w:autoSpaceDN/>
        <w:bidi w:val="0"/>
        <w:adjustRightInd/>
        <w:snapToGrid/>
        <w:spacing w:line="240" w:lineRule="auto"/>
        <w:rPr>
          <w:rFonts w:hint="default" w:ascii="Times New Roman" w:hAnsi="Times New Roman" w:cs="仿宋_GB2312"/>
          <w:color w:val="auto"/>
          <w:sz w:val="32"/>
          <w:szCs w:val="32"/>
          <w:highlight w:val="none"/>
          <w:lang w:val="en-US" w:eastAsia="zh-CN"/>
        </w:rPr>
      </w:pPr>
      <w:r>
        <w:rPr>
          <w:rFonts w:hint="eastAsia" w:ascii="Times New Roman" w:hAnsi="Times New Roman" w:cs="仿宋_GB2312"/>
          <w:color w:val="auto"/>
          <w:sz w:val="32"/>
          <w:szCs w:val="32"/>
          <w:highlight w:val="none"/>
          <w:lang w:val="en-US" w:eastAsia="zh-CN"/>
        </w:rPr>
        <w:t>4</w:t>
      </w:r>
      <w:r>
        <w:rPr>
          <w:rFonts w:hint="default" w:ascii="Times New Roman" w:hAnsi="Times New Roman" w:cs="仿宋_GB2312"/>
          <w:color w:val="auto"/>
          <w:sz w:val="32"/>
          <w:szCs w:val="32"/>
          <w:highlight w:val="none"/>
          <w:lang w:val="en-US" w:eastAsia="zh-CN"/>
        </w:rPr>
        <w:t>.培优育强“澄海狮头鹅”品牌，打造国际知名的民族品牌</w:t>
      </w:r>
    </w:p>
    <w:p w14:paraId="67F04F10">
      <w:pPr>
        <w:pageBreakBefore w:val="0"/>
        <w:kinsoku/>
        <w:overflowPunct/>
        <w:topLinePunct w:val="0"/>
        <w:autoSpaceDE/>
        <w:autoSpaceDN/>
        <w:bidi w:val="0"/>
        <w:adjustRightInd/>
        <w:snapToGrid/>
        <w:spacing w:line="590" w:lineRule="exact"/>
        <w:rPr>
          <w:rFonts w:hint="eastAsia" w:ascii="Times New Roman" w:hAnsi="Times New Roman"/>
          <w:color w:val="auto"/>
          <w:sz w:val="32"/>
          <w:szCs w:val="32"/>
          <w:highlight w:val="none"/>
          <w:lang w:eastAsia="zh-CN"/>
        </w:rPr>
      </w:pPr>
      <w:r>
        <w:rPr>
          <w:rFonts w:hint="eastAsia" w:ascii="Times New Roman" w:hAnsi="Times New Roman"/>
          <w:color w:val="auto"/>
          <w:sz w:val="32"/>
          <w:szCs w:val="32"/>
          <w:highlight w:val="none"/>
          <w:lang w:eastAsia="zh-CN"/>
        </w:rPr>
        <w:t>加强狮头鹅公用品牌</w:t>
      </w:r>
      <w:r>
        <w:rPr>
          <w:rFonts w:hint="eastAsia" w:ascii="Times New Roman" w:hAnsi="Times New Roman"/>
          <w:color w:val="auto"/>
          <w:sz w:val="32"/>
          <w:szCs w:val="32"/>
          <w:highlight w:val="none"/>
          <w:lang w:val="en-US" w:eastAsia="zh-CN"/>
        </w:rPr>
        <w:t>建设</w:t>
      </w:r>
      <w:r>
        <w:rPr>
          <w:rFonts w:hint="eastAsia" w:ascii="Times New Roman" w:hAnsi="Times New Roman"/>
          <w:color w:val="auto"/>
          <w:sz w:val="32"/>
          <w:szCs w:val="32"/>
          <w:highlight w:val="none"/>
          <w:lang w:eastAsia="zh-CN"/>
        </w:rPr>
        <w:t>，做强做大公用品牌，做好公用品牌的品牌设计、市场影响度、品牌认知度、品牌保护与支持等运营工作，不断提升狮头鹅产业品牌价值。</w:t>
      </w:r>
      <w:r>
        <w:rPr>
          <w:rFonts w:hint="eastAsia" w:ascii="Times New Roman" w:hAnsi="Times New Roman"/>
          <w:color w:val="auto"/>
          <w:sz w:val="32"/>
          <w:szCs w:val="32"/>
          <w:highlight w:val="none"/>
          <w:lang w:val="en-US" w:eastAsia="zh-CN"/>
        </w:rPr>
        <w:t>依托农产品“12221”市场体系，</w:t>
      </w:r>
      <w:r>
        <w:rPr>
          <w:rFonts w:hint="eastAsia" w:ascii="Times New Roman" w:hAnsi="Times New Roman"/>
          <w:color w:val="auto"/>
          <w:sz w:val="32"/>
          <w:szCs w:val="32"/>
          <w:highlight w:val="none"/>
          <w:lang w:eastAsia="zh-CN"/>
        </w:rPr>
        <w:t>开展品牌发布与产销对接。</w:t>
      </w:r>
      <w:r>
        <w:rPr>
          <w:rFonts w:hint="eastAsia" w:ascii="Times New Roman" w:hAnsi="Times New Roman"/>
          <w:color w:val="auto"/>
          <w:sz w:val="32"/>
          <w:szCs w:val="32"/>
          <w:highlight w:val="none"/>
          <w:lang w:val="en-US" w:eastAsia="zh-CN"/>
        </w:rPr>
        <w:t>到2026年，</w:t>
      </w:r>
      <w:r>
        <w:rPr>
          <w:rFonts w:hint="default" w:ascii="Times New Roman" w:hAnsi="Times New Roman" w:cs="仿宋_GB2312"/>
          <w:color w:val="auto"/>
          <w:sz w:val="32"/>
          <w:szCs w:val="32"/>
          <w:highlight w:val="none"/>
          <w:lang w:val="en-US" w:eastAsia="zh-CN"/>
        </w:rPr>
        <w:t>“澄海狮头鹅”</w:t>
      </w:r>
      <w:r>
        <w:rPr>
          <w:rFonts w:hint="eastAsia" w:ascii="Times New Roman" w:hAnsi="Times New Roman" w:cs="仿宋_GB2312"/>
          <w:color w:val="auto"/>
          <w:sz w:val="32"/>
          <w:szCs w:val="32"/>
          <w:highlight w:val="none"/>
          <w:lang w:val="en-US" w:eastAsia="zh-CN"/>
        </w:rPr>
        <w:t>区域公用品牌影响力显著提升，培育省内外知名品牌8个以上，注册狮头鹅商标10个以上</w:t>
      </w:r>
      <w:r>
        <w:rPr>
          <w:rFonts w:hint="eastAsia" w:ascii="Times New Roman" w:hAnsi="Times New Roman"/>
          <w:color w:val="auto"/>
          <w:sz w:val="32"/>
          <w:szCs w:val="32"/>
          <w:highlight w:val="none"/>
          <w:lang w:eastAsia="zh-CN"/>
        </w:rPr>
        <w:t>。</w:t>
      </w:r>
    </w:p>
    <w:p w14:paraId="64273472">
      <w:pPr>
        <w:pageBreakBefore w:val="0"/>
        <w:kinsoku/>
        <w:overflowPunct/>
        <w:topLinePunct w:val="0"/>
        <w:autoSpaceDE/>
        <w:autoSpaceDN/>
        <w:bidi w:val="0"/>
        <w:adjustRightInd/>
        <w:snapToGrid/>
        <w:spacing w:line="590" w:lineRule="exact"/>
        <w:rPr>
          <w:rFonts w:hint="default" w:ascii="Times New Roman" w:hAnsi="Times New Roman"/>
          <w:color w:val="auto"/>
          <w:sz w:val="32"/>
          <w:szCs w:val="32"/>
          <w:highlight w:val="none"/>
          <w:lang w:val="en-US" w:eastAsia="zh-CN"/>
        </w:rPr>
      </w:pPr>
      <w:r>
        <w:rPr>
          <w:rFonts w:hint="eastAsia" w:ascii="Times New Roman" w:hAnsi="Times New Roman"/>
          <w:b/>
          <w:bCs/>
          <w:color w:val="auto"/>
          <w:sz w:val="32"/>
          <w:szCs w:val="32"/>
          <w:highlight w:val="none"/>
          <w:lang w:val="en-US" w:eastAsia="zh-CN"/>
        </w:rPr>
        <w:t>——提升讲故事能力。</w:t>
      </w:r>
      <w:r>
        <w:rPr>
          <w:rFonts w:hint="eastAsia" w:ascii="Times New Roman" w:hAnsi="Times New Roman"/>
          <w:color w:val="auto"/>
          <w:sz w:val="32"/>
          <w:szCs w:val="32"/>
          <w:highlight w:val="none"/>
          <w:lang w:val="en-US" w:eastAsia="zh-CN"/>
        </w:rPr>
        <w:t>主动联系各类媒体，做好产业典型案例总结，通过自主举办狮头鹅国际网络节、文化节；引导产业园内新型经营主体参与各类博览会、展销平台、海外潮汕同乡会；借助地方电视台、省级以上媒体、高铁、地铁、公交等载体广泛宣传澄海狮头鹅特色农产品，</w:t>
      </w:r>
      <w:r>
        <w:rPr>
          <w:rFonts w:hint="eastAsia" w:ascii="Times New Roman" w:hAnsi="Times New Roman"/>
          <w:color w:val="auto"/>
          <w:sz w:val="32"/>
          <w:szCs w:val="32"/>
          <w:highlight w:val="none"/>
          <w:lang w:eastAsia="zh-CN"/>
        </w:rPr>
        <w:t>讲好狮头鹅品牌故事，形成打响“澄海狮头鹅”品牌的强大合力，</w:t>
      </w:r>
      <w:r>
        <w:rPr>
          <w:rFonts w:hint="eastAsia" w:ascii="Times New Roman" w:hAnsi="Times New Roman"/>
          <w:color w:val="auto"/>
          <w:sz w:val="32"/>
          <w:szCs w:val="32"/>
          <w:highlight w:val="none"/>
          <w:lang w:val="en-US" w:eastAsia="zh-CN"/>
        </w:rPr>
        <w:t>促进产销对接，大力开拓“双循环”市场。</w:t>
      </w:r>
    </w:p>
    <w:p w14:paraId="0481C1D2">
      <w:pPr>
        <w:pStyle w:val="14"/>
        <w:rPr>
          <w:rFonts w:hint="eastAsia" w:ascii="Times New Roman" w:hAnsi="Times New Roman"/>
          <w:color w:val="auto"/>
          <w:highlight w:val="none"/>
        </w:rPr>
      </w:pPr>
      <w:r>
        <w:rPr>
          <w:rFonts w:hint="eastAsia" w:ascii="Times New Roman" w:hAnsi="Times New Roman"/>
          <w:b/>
          <w:bCs/>
          <w:color w:val="auto"/>
          <w:sz w:val="32"/>
          <w:szCs w:val="32"/>
          <w:highlight w:val="none"/>
          <w:lang w:val="en-US" w:eastAsia="zh-CN"/>
        </w:rPr>
        <w:t>——提升品牌形象。</w:t>
      </w:r>
      <w:r>
        <w:rPr>
          <w:rFonts w:hint="default" w:ascii="Times New Roman" w:hAnsi="Times New Roman" w:eastAsia="仿宋_GB2312" w:cstheme="minorBidi"/>
          <w:color w:val="auto"/>
          <w:kern w:val="2"/>
          <w:sz w:val="32"/>
          <w:szCs w:val="32"/>
          <w:highlight w:val="none"/>
          <w:lang w:val="en-US" w:eastAsia="zh-CN" w:bidi="ar-SA"/>
        </w:rPr>
        <w:t>持续推动狮头鹅打造“国字号”</w:t>
      </w:r>
      <w:r>
        <w:rPr>
          <w:rFonts w:hint="eastAsia" w:ascii="Times New Roman" w:hAnsi="Times New Roman" w:cstheme="minorBidi"/>
          <w:color w:val="auto"/>
          <w:kern w:val="2"/>
          <w:sz w:val="32"/>
          <w:szCs w:val="32"/>
          <w:highlight w:val="none"/>
          <w:lang w:val="en-US" w:eastAsia="zh-CN" w:bidi="ar-SA"/>
        </w:rPr>
        <w:t>“省字号”</w:t>
      </w:r>
      <w:r>
        <w:rPr>
          <w:rFonts w:hint="default" w:ascii="Times New Roman" w:hAnsi="Times New Roman" w:eastAsia="仿宋_GB2312" w:cstheme="minorBidi"/>
          <w:color w:val="auto"/>
          <w:kern w:val="2"/>
          <w:sz w:val="32"/>
          <w:szCs w:val="32"/>
          <w:highlight w:val="none"/>
          <w:lang w:val="en-US" w:eastAsia="zh-CN" w:bidi="ar-SA"/>
        </w:rPr>
        <w:t>农业品牌</w:t>
      </w:r>
      <w:r>
        <w:rPr>
          <w:rFonts w:hint="eastAsia" w:ascii="Times New Roman" w:hAnsi="Times New Roman" w:cstheme="minorBidi"/>
          <w:color w:val="auto"/>
          <w:kern w:val="2"/>
          <w:sz w:val="32"/>
          <w:szCs w:val="32"/>
          <w:highlight w:val="none"/>
          <w:lang w:val="en-US" w:eastAsia="zh-CN" w:bidi="ar-SA"/>
        </w:rPr>
        <w:t>建设，</w:t>
      </w:r>
      <w:r>
        <w:rPr>
          <w:rFonts w:hint="eastAsia" w:ascii="Times New Roman" w:hAnsi="Times New Roman"/>
          <w:color w:val="auto"/>
          <w:sz w:val="32"/>
          <w:szCs w:val="32"/>
          <w:highlight w:val="none"/>
          <w:lang w:eastAsia="zh-CN"/>
        </w:rPr>
        <w:t>规范包装设计，统一品牌名称和公用标识，设计“澄海狮头鹅”专用标志，</w:t>
      </w:r>
      <w:r>
        <w:rPr>
          <w:rFonts w:hint="eastAsia" w:ascii="Times New Roman" w:hAnsi="Times New Roman"/>
          <w:color w:val="auto"/>
          <w:sz w:val="32"/>
          <w:szCs w:val="32"/>
          <w:highlight w:val="none"/>
          <w:lang w:val="en-US" w:eastAsia="zh-CN"/>
        </w:rPr>
        <w:t>规范狮头鹅地标商标的使用。</w:t>
      </w:r>
    </w:p>
    <w:p w14:paraId="734E767E">
      <w:pPr>
        <w:pStyle w:val="4"/>
        <w:pageBreakBefore w:val="0"/>
        <w:kinsoku/>
        <w:overflowPunct/>
        <w:topLinePunct w:val="0"/>
        <w:autoSpaceDE/>
        <w:autoSpaceDN/>
        <w:bidi w:val="0"/>
        <w:adjustRightInd/>
        <w:snapToGrid/>
        <w:spacing w:line="240" w:lineRule="auto"/>
        <w:rPr>
          <w:rFonts w:hint="eastAsia" w:ascii="Times New Roman" w:hAnsi="Times New Roman" w:cs="仿宋_GB2312"/>
          <w:color w:val="auto"/>
          <w:sz w:val="32"/>
          <w:szCs w:val="32"/>
          <w:highlight w:val="none"/>
          <w:lang w:val="en-US" w:eastAsia="zh-CN"/>
        </w:rPr>
      </w:pPr>
      <w:r>
        <w:rPr>
          <w:rFonts w:hint="eastAsia" w:ascii="Times New Roman" w:hAnsi="Times New Roman" w:cs="仿宋_GB2312"/>
          <w:color w:val="auto"/>
          <w:sz w:val="32"/>
          <w:szCs w:val="32"/>
          <w:highlight w:val="none"/>
          <w:lang w:val="en-US" w:eastAsia="zh-CN"/>
        </w:rPr>
        <w:t>5.</w:t>
      </w:r>
      <w:r>
        <w:rPr>
          <w:rFonts w:hint="default" w:ascii="Times New Roman" w:hAnsi="Times New Roman" w:cs="仿宋_GB2312"/>
          <w:color w:val="auto"/>
          <w:sz w:val="32"/>
          <w:szCs w:val="32"/>
          <w:highlight w:val="none"/>
          <w:lang w:val="en-US" w:eastAsia="zh-CN"/>
        </w:rPr>
        <w:t>建设狮头鹅三产融合示范基地，</w:t>
      </w:r>
      <w:r>
        <w:rPr>
          <w:rFonts w:hint="eastAsia" w:ascii="Times New Roman" w:hAnsi="Times New Roman" w:cs="仿宋_GB2312"/>
          <w:color w:val="auto"/>
          <w:sz w:val="32"/>
          <w:szCs w:val="32"/>
          <w:highlight w:val="none"/>
          <w:lang w:val="en-US" w:eastAsia="zh-CN"/>
        </w:rPr>
        <w:t>深入挖掘狮头品牌文化</w:t>
      </w:r>
    </w:p>
    <w:p w14:paraId="6FB0AAD1">
      <w:pPr>
        <w:rPr>
          <w:rFonts w:hint="eastAsia" w:ascii="Times New Roman" w:hAnsi="Times New Roman" w:cs="Times New Roman"/>
          <w:color w:val="auto"/>
          <w:sz w:val="32"/>
          <w:highlight w:val="none"/>
          <w:lang w:val="en-US" w:eastAsia="zh-CN"/>
        </w:rPr>
      </w:pPr>
      <w:r>
        <w:rPr>
          <w:rFonts w:hint="default" w:ascii="Times New Roman" w:hAnsi="Times New Roman" w:eastAsia="仿宋_GB2312" w:cs="Times New Roman"/>
          <w:color w:val="auto"/>
          <w:sz w:val="32"/>
          <w:highlight w:val="none"/>
        </w:rPr>
        <w:t>深入挖掘旅游观光、休闲娱乐、文化餐饮等方面功能。加大名牌优质特色产品开发力度，借助全区旅游资源与乡村旅游区位优势，利用“旅游+”“生态+”“康养+”等模式，推进狮头鹅产业与旅游、教育、文化、康养等产业深度融合，发展特色旅游、生态休闲农业与乡村旅游。重点依托产业园特色农牧业与景观优势，整合建设一批精品休闲农业与乡村旅游平台，大力发展休闲农业，推动产区变景区、养殖基地变公园，建设狮头鹅文化主题公园、澄海狮头鹅产业城</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狮头鹅产业展示交流中心处以狮头鹅为主题的特色景点和旅游线路，规划建设集旅游观光和农事体验为一体的狮头鹅主题公园，强化</w:t>
      </w:r>
      <w:r>
        <w:rPr>
          <w:rFonts w:hint="eastAsia" w:ascii="Times New Roman" w:hAnsi="Times New Roman" w:cs="Times New Roman"/>
          <w:color w:val="auto"/>
          <w:sz w:val="32"/>
          <w:highlight w:val="none"/>
          <w:lang w:val="en-US" w:eastAsia="zh-CN"/>
        </w:rPr>
        <w:t>养殖、加工、科技、文化</w:t>
      </w:r>
      <w:r>
        <w:rPr>
          <w:rFonts w:hint="default" w:ascii="Times New Roman" w:hAnsi="Times New Roman" w:eastAsia="仿宋_GB2312" w:cs="Times New Roman"/>
          <w:color w:val="auto"/>
          <w:sz w:val="32"/>
          <w:highlight w:val="none"/>
        </w:rPr>
        <w:t>展示与</w:t>
      </w:r>
      <w:r>
        <w:rPr>
          <w:rFonts w:hint="eastAsia" w:ascii="Times New Roman" w:hAnsi="Times New Roman" w:cs="Times New Roman"/>
          <w:color w:val="auto"/>
          <w:sz w:val="32"/>
          <w:highlight w:val="none"/>
          <w:lang w:val="en-US" w:eastAsia="zh-CN"/>
        </w:rPr>
        <w:t>营销</w:t>
      </w:r>
      <w:r>
        <w:rPr>
          <w:rFonts w:hint="default" w:ascii="Times New Roman" w:hAnsi="Times New Roman" w:eastAsia="仿宋_GB2312" w:cs="Times New Roman"/>
          <w:color w:val="auto"/>
          <w:sz w:val="32"/>
          <w:highlight w:val="none"/>
        </w:rPr>
        <w:t>等功能，打造狮头鹅产业标志性旅游区。</w:t>
      </w:r>
      <w:r>
        <w:rPr>
          <w:rFonts w:hint="eastAsia" w:ascii="Times New Roman" w:hAnsi="Times New Roman" w:cs="Times New Roman"/>
          <w:color w:val="auto"/>
          <w:sz w:val="32"/>
          <w:highlight w:val="none"/>
          <w:lang w:val="en-US" w:eastAsia="zh-CN"/>
        </w:rPr>
        <w:t>到2026年，打造狮头鹅为主题的精品旅游线路2条，建设狮头鹅文化主题公园2个以上。</w:t>
      </w:r>
    </w:p>
    <w:bookmarkEnd w:id="166"/>
    <w:bookmarkEnd w:id="167"/>
    <w:bookmarkEnd w:id="168"/>
    <w:bookmarkEnd w:id="169"/>
    <w:p w14:paraId="7F9B1142">
      <w:pPr>
        <w:pStyle w:val="4"/>
        <w:pageBreakBefore w:val="0"/>
        <w:kinsoku/>
        <w:overflowPunct/>
        <w:topLinePunct w:val="0"/>
        <w:autoSpaceDE/>
        <w:autoSpaceDN/>
        <w:bidi w:val="0"/>
        <w:adjustRightInd/>
        <w:snapToGrid/>
        <w:spacing w:line="240" w:lineRule="auto"/>
        <w:rPr>
          <w:rFonts w:hint="default" w:ascii="Times New Roman" w:hAnsi="Times New Roman" w:cs="仿宋_GB2312"/>
          <w:color w:val="auto"/>
          <w:sz w:val="32"/>
          <w:szCs w:val="32"/>
          <w:highlight w:val="none"/>
          <w:lang w:val="en-US" w:eastAsia="zh-CN"/>
        </w:rPr>
      </w:pPr>
      <w:bookmarkStart w:id="170" w:name="_Toc11138"/>
      <w:bookmarkStart w:id="171" w:name="_Toc3199"/>
      <w:bookmarkStart w:id="172" w:name="_Toc20846"/>
      <w:bookmarkStart w:id="173" w:name="_Toc9677"/>
      <w:r>
        <w:rPr>
          <w:rFonts w:hint="eastAsia" w:ascii="Times New Roman" w:hAnsi="Times New Roman" w:cs="仿宋_GB2312"/>
          <w:color w:val="auto"/>
          <w:sz w:val="32"/>
          <w:szCs w:val="32"/>
          <w:highlight w:val="none"/>
          <w:lang w:val="en-US" w:eastAsia="zh-CN"/>
        </w:rPr>
        <w:t>6</w:t>
      </w:r>
      <w:r>
        <w:rPr>
          <w:rFonts w:hint="default" w:ascii="Times New Roman" w:hAnsi="Times New Roman" w:cs="仿宋_GB2312"/>
          <w:color w:val="auto"/>
          <w:sz w:val="32"/>
          <w:szCs w:val="32"/>
          <w:highlight w:val="none"/>
          <w:lang w:val="en-US" w:eastAsia="zh-CN"/>
        </w:rPr>
        <w:t>.</w:t>
      </w:r>
      <w:bookmarkEnd w:id="170"/>
      <w:bookmarkEnd w:id="171"/>
      <w:bookmarkEnd w:id="172"/>
      <w:bookmarkEnd w:id="173"/>
      <w:r>
        <w:rPr>
          <w:rFonts w:hint="eastAsia" w:ascii="Times New Roman" w:hAnsi="Times New Roman" w:cs="仿宋_GB2312"/>
          <w:color w:val="auto"/>
          <w:sz w:val="32"/>
          <w:szCs w:val="32"/>
          <w:highlight w:val="none"/>
          <w:lang w:val="en-US" w:eastAsia="zh-CN"/>
        </w:rPr>
        <w:t>发展适度规模经营，构建联农带农长效机制</w:t>
      </w:r>
    </w:p>
    <w:p w14:paraId="432A2C37">
      <w:pPr>
        <w:pageBreakBefore w:val="0"/>
        <w:kinsoku/>
        <w:overflowPunct/>
        <w:topLinePunct w:val="0"/>
        <w:autoSpaceDE/>
        <w:autoSpaceDN/>
        <w:bidi w:val="0"/>
        <w:adjustRightInd/>
        <w:snapToGrid/>
        <w:spacing w:line="590" w:lineRule="exact"/>
        <w:ind w:firstLine="640"/>
        <w:rPr>
          <w:rFonts w:hint="default" w:ascii="Times New Roman" w:hAnsi="Times New Roman" w:cs="Times New Roman"/>
          <w:color w:val="auto"/>
          <w:sz w:val="32"/>
          <w:highlight w:val="none"/>
          <w:lang w:val="en-US" w:eastAsia="zh-CN"/>
        </w:rPr>
      </w:pPr>
      <w:r>
        <w:rPr>
          <w:rFonts w:hint="eastAsia" w:ascii="Times New Roman" w:hAnsi="Times New Roman" w:cs="Times New Roman"/>
          <w:color w:val="auto"/>
          <w:sz w:val="32"/>
          <w:highlight w:val="none"/>
          <w:lang w:val="en-US" w:eastAsia="zh-CN"/>
        </w:rPr>
        <w:t>围绕构建农村一二三产融合发展体系，全面深化农村改革，推进农业经营方式创新，开展新型农业经营主体培育工程，积极开展产业园“双创”示范，全面带动就业及创新联农带农机制，带动农民持续稳定增收。</w:t>
      </w:r>
    </w:p>
    <w:p w14:paraId="73F73774">
      <w:pPr>
        <w:rPr>
          <w:rFonts w:hint="eastAsia" w:ascii="Times New Roman" w:hAnsi="Times New Roman"/>
          <w:color w:val="auto"/>
          <w:highlight w:val="none"/>
          <w:lang w:val="en-US" w:eastAsia="zh-CN"/>
        </w:rPr>
      </w:pPr>
      <w:r>
        <w:rPr>
          <w:rFonts w:hint="eastAsia" w:ascii="Times New Roman" w:hAnsi="Times New Roman" w:cs="Times New Roman"/>
          <w:b/>
          <w:bCs/>
          <w:color w:val="auto"/>
          <w:sz w:val="32"/>
          <w:highlight w:val="none"/>
          <w:lang w:val="en-US" w:eastAsia="zh-CN"/>
        </w:rPr>
        <w:t>——培育壮大新型农业经营主体。</w:t>
      </w:r>
      <w:r>
        <w:rPr>
          <w:rFonts w:hint="eastAsia" w:ascii="Times New Roman" w:hAnsi="Times New Roman" w:cs="Times New Roman"/>
          <w:color w:val="auto"/>
          <w:sz w:val="32"/>
          <w:highlight w:val="none"/>
          <w:lang w:val="en-US" w:eastAsia="zh-CN"/>
        </w:rPr>
        <w:t>坚持农村土地集体所有，实现所有权、承包权、经营权三权分置，引导土地经营权有序流转，积极培育家庭农场、农民合作社、农业产业化龙头企业等新型经营主体，发展多种形式适度规模经营，引导运营规范、带动力强等新型经营主体申请“三农”政策补贴，将培育壮大新型经营主体纳入产业发展重点工作任务，推动农业分散经营向规模化、组织化转变。到2026年，</w:t>
      </w:r>
      <w:r>
        <w:rPr>
          <w:rFonts w:hint="eastAsia" w:ascii="Times New Roman" w:hAnsi="Times New Roman"/>
          <w:color w:val="auto"/>
          <w:highlight w:val="none"/>
          <w:lang w:val="en-US" w:eastAsia="zh-CN"/>
        </w:rPr>
        <w:t>土地适度规模经营占比达85.5%，培育省级以上农业龙头企业11家，从事狮头鹅主导产业生产经营合作社220家，从事狮头鹅主导产业生产经营家庭农场75家。</w:t>
      </w:r>
    </w:p>
    <w:p w14:paraId="0967A69E">
      <w:pPr>
        <w:pageBreakBefore w:val="0"/>
        <w:kinsoku/>
        <w:overflowPunct/>
        <w:topLinePunct w:val="0"/>
        <w:autoSpaceDE/>
        <w:autoSpaceDN/>
        <w:bidi w:val="0"/>
        <w:adjustRightInd/>
        <w:snapToGrid/>
        <w:spacing w:line="240" w:lineRule="auto"/>
        <w:ind w:firstLine="643"/>
        <w:rPr>
          <w:rFonts w:hint="eastAsia" w:ascii="Times New Roman" w:hAnsi="Times New Roman" w:cs="Times New Roman"/>
          <w:b w:val="0"/>
          <w:bCs w:val="0"/>
          <w:color w:val="auto"/>
          <w:sz w:val="32"/>
          <w:highlight w:val="none"/>
          <w:lang w:val="en-US" w:eastAsia="zh-CN"/>
        </w:rPr>
      </w:pPr>
      <w:r>
        <w:rPr>
          <w:rFonts w:hint="eastAsia" w:ascii="Times New Roman" w:hAnsi="Times New Roman"/>
          <w:b/>
          <w:bCs/>
          <w:color w:val="auto"/>
          <w:highlight w:val="none"/>
          <w:lang w:val="en-US" w:eastAsia="zh-CN"/>
        </w:rPr>
        <w:t>——积极开展“双创”示范。</w:t>
      </w:r>
      <w:r>
        <w:rPr>
          <w:rFonts w:hint="eastAsia" w:ascii="Times New Roman" w:hAnsi="Times New Roman"/>
          <w:color w:val="auto"/>
          <w:highlight w:val="none"/>
          <w:lang w:val="en-US" w:eastAsia="zh-CN"/>
        </w:rPr>
        <w:t>强化“双创”政策指导，在产业园内围绕主导产业升级，设立农村“双创”服务站，常态化开展政策咨询、创业辅导、项目指导等志愿服务。</w:t>
      </w:r>
      <w:r>
        <w:rPr>
          <w:rFonts w:hint="eastAsia" w:ascii="Times New Roman" w:hAnsi="Times New Roman"/>
          <w:b/>
          <w:bCs/>
          <w:color w:val="auto"/>
          <w:highlight w:val="none"/>
          <w:lang w:val="en-US" w:eastAsia="zh-CN"/>
        </w:rPr>
        <w:t>一是</w:t>
      </w:r>
      <w:r>
        <w:rPr>
          <w:rFonts w:hint="eastAsia" w:ascii="Times New Roman" w:hAnsi="Times New Roman"/>
          <w:color w:val="auto"/>
          <w:highlight w:val="none"/>
          <w:lang w:val="en-US" w:eastAsia="zh-CN"/>
        </w:rPr>
        <w:t>打造“创新创业”人才专区，通过建立人才吸引载体、完善人才制度环境等措施</w:t>
      </w:r>
      <w:r>
        <w:rPr>
          <w:rFonts w:hint="default" w:ascii="Times New Roman" w:hAnsi="Times New Roman" w:eastAsia="仿宋_GB2312" w:cs="Times New Roman"/>
          <w:color w:val="auto"/>
          <w:sz w:val="32"/>
          <w:highlight w:val="none"/>
        </w:rPr>
        <w:t>，建立人才引入与产业人才培育机制，重点通过股份合作等多种合作形式入园创业创新，大力扶持现代家庭农场和种养大户，支持农民合作社、农业龙头企业、农业服务主体和新型职业农民，建立产业联盟，打造新型经营主体</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双创</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孵化区，健全管理制度、完善运行机制，促进职业农民共同发展。</w:t>
      </w:r>
      <w:r>
        <w:rPr>
          <w:rFonts w:hint="eastAsia" w:ascii="Times New Roman" w:hAnsi="Times New Roman" w:cs="Times New Roman"/>
          <w:b/>
          <w:bCs/>
          <w:color w:val="auto"/>
          <w:sz w:val="32"/>
          <w:highlight w:val="none"/>
          <w:lang w:val="en-US" w:eastAsia="zh-CN"/>
        </w:rPr>
        <w:t>二是</w:t>
      </w:r>
      <w:r>
        <w:rPr>
          <w:rFonts w:hint="default" w:ascii="Times New Roman" w:hAnsi="Times New Roman" w:eastAsia="仿宋_GB2312" w:cs="Times New Roman"/>
          <w:color w:val="auto"/>
          <w:sz w:val="32"/>
          <w:highlight w:val="none"/>
        </w:rPr>
        <w:t>打造</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创投创客</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孵化特区，围绕园区商业模式创新等需求，按照</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双创+金融</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的发展路径，打造一批以狮头鹅为主题的新型众创空间、壮大创新创业群体、大力弘扬双创文化，逐步营造大众创业、万众创新良好局面，将澄海区国家现代农业产业园打造成为粤东地区电商创新的源头。推出贷款贴息、政银保等金融优惠服务政策，与工商银行、农业银行、建设银行、交通银行、农商行、邮政储蓄银行等金融机构合作，积极引导社会资本参与产业园建设，调动企业与农户养殖生产狮头鹅的积极性。</w:t>
      </w:r>
      <w:r>
        <w:rPr>
          <w:rFonts w:hint="eastAsia" w:ascii="Times New Roman" w:hAnsi="Times New Roman" w:cs="Times New Roman"/>
          <w:b w:val="0"/>
          <w:bCs w:val="0"/>
          <w:color w:val="auto"/>
          <w:sz w:val="32"/>
          <w:highlight w:val="none"/>
          <w:lang w:val="en-US" w:eastAsia="zh-CN"/>
        </w:rPr>
        <w:t>到2026年，带动创业就业人数达到50000人。</w:t>
      </w:r>
    </w:p>
    <w:p w14:paraId="3AF132B0">
      <w:pPr>
        <w:pageBreakBefore w:val="0"/>
        <w:kinsoku/>
        <w:overflowPunct/>
        <w:topLinePunct w:val="0"/>
        <w:autoSpaceDE/>
        <w:autoSpaceDN/>
        <w:bidi w:val="0"/>
        <w:adjustRightInd/>
        <w:snapToGrid/>
        <w:spacing w:line="240" w:lineRule="auto"/>
        <w:ind w:firstLine="643"/>
        <w:rPr>
          <w:rFonts w:hint="eastAsia" w:ascii="Times New Roman" w:hAnsi="Times New Roman" w:cs="Times New Roman"/>
          <w:b w:val="0"/>
          <w:bCs w:val="0"/>
          <w:color w:val="auto"/>
          <w:sz w:val="32"/>
          <w:highlight w:val="none"/>
          <w:lang w:val="en-US" w:eastAsia="zh-CN"/>
        </w:rPr>
      </w:pPr>
      <w:r>
        <w:rPr>
          <w:rFonts w:hint="eastAsia" w:ascii="Times New Roman" w:hAnsi="Times New Roman" w:cs="Times New Roman"/>
          <w:b/>
          <w:bCs/>
          <w:color w:val="auto"/>
          <w:sz w:val="32"/>
          <w:highlight w:val="none"/>
          <w:lang w:val="en-US" w:eastAsia="zh-CN"/>
        </w:rPr>
        <w:t>——构建联农带农长效机制。</w:t>
      </w:r>
      <w:r>
        <w:rPr>
          <w:rFonts w:hint="eastAsia" w:ascii="Times New Roman" w:hAnsi="Times New Roman" w:cs="Times New Roman"/>
          <w:b w:val="0"/>
          <w:bCs w:val="0"/>
          <w:color w:val="auto"/>
          <w:sz w:val="32"/>
          <w:highlight w:val="none"/>
          <w:lang w:val="en-US" w:eastAsia="zh-CN"/>
        </w:rPr>
        <w:t>积极构建稳定、紧密、权责分明、利益共享且风险可控的联农带农机制，鼓励农业经营主体将农户纳入产业发展链条，形成包括订单收购、产销对接、生产托管、信息对接、金融服务、保险担保、技能培训和平台服务等多样化机制，创新“订单收购结合分红”“土地流转附带优先雇用和社会保障”“农民入股享受保底收益与按股分红”“土地租金、务工工资与返利分红”等多种联结机制，使农民能够充分分享产业链增值收益。到2026年，园内农民人均可支配收入达3.8万元，高于澄海区平均水平32.1%。</w:t>
      </w:r>
    </w:p>
    <w:p w14:paraId="42CA5E1F">
      <w:pPr>
        <w:pStyle w:val="4"/>
        <w:keepNext w:val="0"/>
        <w:keepLines/>
        <w:pageBreakBefore w:val="0"/>
        <w:widowControl/>
        <w:kinsoku/>
        <w:wordWrap/>
        <w:overflowPunct/>
        <w:topLinePunct w:val="0"/>
        <w:autoSpaceDE/>
        <w:autoSpaceDN/>
        <w:bidi w:val="0"/>
        <w:adjustRightInd/>
        <w:snapToGrid/>
        <w:spacing w:line="590" w:lineRule="exact"/>
        <w:ind w:firstLine="640" w:firstLineChars="0"/>
        <w:textAlignment w:val="auto"/>
        <w:outlineLvl w:val="1"/>
        <w:rPr>
          <w:rFonts w:hint="eastAsia" w:ascii="Times New Roman" w:hAnsi="Times New Roman" w:eastAsia="楷体_GB2312" w:cs="楷体_GB2312"/>
          <w:b/>
          <w:bCs w:val="0"/>
          <w:color w:val="auto"/>
          <w:highlight w:val="none"/>
          <w:lang w:val="en-US" w:eastAsia="zh-CN"/>
        </w:rPr>
      </w:pPr>
      <w:bookmarkStart w:id="174" w:name="_Toc21276"/>
      <w:bookmarkStart w:id="175" w:name="_Toc17318"/>
      <w:bookmarkStart w:id="176" w:name="_Toc15463"/>
      <w:bookmarkStart w:id="177" w:name="_Toc4602"/>
      <w:bookmarkStart w:id="178" w:name="_Toc13512"/>
      <w:bookmarkStart w:id="179" w:name="_Toc904"/>
      <w:r>
        <w:rPr>
          <w:rFonts w:hint="eastAsia" w:ascii="Times New Roman" w:hAnsi="Times New Roman" w:eastAsia="楷体_GB2312" w:cs="楷体_GB2312"/>
          <w:b/>
          <w:bCs w:val="0"/>
          <w:color w:val="auto"/>
          <w:highlight w:val="none"/>
          <w:lang w:val="en-US" w:eastAsia="zh-CN"/>
        </w:rPr>
        <w:t>（四）推进产业强镇兴村，建设乡村振兴样板</w:t>
      </w:r>
      <w:bookmarkEnd w:id="174"/>
      <w:bookmarkEnd w:id="175"/>
      <w:bookmarkEnd w:id="176"/>
      <w:bookmarkEnd w:id="177"/>
      <w:bookmarkEnd w:id="178"/>
      <w:bookmarkEnd w:id="179"/>
    </w:p>
    <w:p w14:paraId="4D479966">
      <w:pPr>
        <w:pageBreakBefore w:val="0"/>
        <w:kinsoku/>
        <w:overflowPunct/>
        <w:topLinePunct w:val="0"/>
        <w:autoSpaceDE/>
        <w:autoSpaceDN/>
        <w:bidi w:val="0"/>
        <w:adjustRightInd/>
        <w:snapToGrid/>
        <w:spacing w:line="590" w:lineRule="exact"/>
        <w:ind w:firstLine="640"/>
        <w:rPr>
          <w:rFonts w:hint="default" w:ascii="Times New Roman" w:hAnsi="Times New Roman" w:eastAsia="仿宋_GB2312" w:cs="Times New Roman"/>
          <w:b/>
          <w:color w:val="auto"/>
          <w:sz w:val="32"/>
          <w:highlight w:val="none"/>
        </w:rPr>
      </w:pPr>
      <w:r>
        <w:rPr>
          <w:rFonts w:hint="default" w:ascii="Times New Roman" w:hAnsi="Times New Roman" w:eastAsia="仿宋_GB2312" w:cs="Times New Roman"/>
          <w:color w:val="auto"/>
          <w:sz w:val="32"/>
          <w:highlight w:val="none"/>
        </w:rPr>
        <w:t>加快构建城乡融合的体制机制与政策体系，以产业园为战略平台，实施乡村振兴战略，以绿色城镇和幸福美丽新村为重点，推进产业园与农村现代化同步建设，不断完善农村基础设施和公共服务配套建设，加大环境综合治理和生态保护，不断改善农村生产生活条件。</w:t>
      </w:r>
    </w:p>
    <w:p w14:paraId="1105C1B8">
      <w:pPr>
        <w:pStyle w:val="4"/>
        <w:pageBreakBefore w:val="0"/>
        <w:kinsoku/>
        <w:overflowPunct/>
        <w:topLinePunct w:val="0"/>
        <w:autoSpaceDE/>
        <w:autoSpaceDN/>
        <w:bidi w:val="0"/>
        <w:adjustRightInd/>
        <w:snapToGrid/>
        <w:spacing w:line="240" w:lineRule="auto"/>
        <w:rPr>
          <w:rFonts w:hint="default" w:ascii="Times New Roman" w:hAnsi="Times New Roman" w:cs="仿宋_GB2312"/>
          <w:color w:val="auto"/>
          <w:sz w:val="32"/>
          <w:szCs w:val="32"/>
          <w:highlight w:val="none"/>
          <w:lang w:val="en-US" w:eastAsia="zh-CN"/>
        </w:rPr>
      </w:pPr>
      <w:bookmarkStart w:id="180" w:name="_Toc9031"/>
      <w:bookmarkStart w:id="181" w:name="_Toc24684"/>
      <w:bookmarkStart w:id="182" w:name="_Toc5777"/>
      <w:bookmarkStart w:id="183" w:name="_Toc611"/>
      <w:r>
        <w:rPr>
          <w:rFonts w:hint="default" w:ascii="Times New Roman" w:hAnsi="Times New Roman" w:cs="仿宋_GB2312"/>
          <w:color w:val="auto"/>
          <w:sz w:val="32"/>
          <w:szCs w:val="32"/>
          <w:highlight w:val="none"/>
          <w:lang w:val="en-US" w:eastAsia="zh-CN"/>
        </w:rPr>
        <w:t>1.加快推进宜居宜业美丽乡村建设</w:t>
      </w:r>
      <w:bookmarkEnd w:id="180"/>
      <w:bookmarkEnd w:id="181"/>
      <w:bookmarkEnd w:id="182"/>
      <w:bookmarkEnd w:id="183"/>
    </w:p>
    <w:p w14:paraId="4FD01238">
      <w:pPr>
        <w:pageBreakBefore w:val="0"/>
        <w:kinsoku/>
        <w:overflowPunct/>
        <w:topLinePunct w:val="0"/>
        <w:autoSpaceDE/>
        <w:autoSpaceDN/>
        <w:bidi w:val="0"/>
        <w:adjustRightInd/>
        <w:snapToGrid/>
        <w:spacing w:line="590" w:lineRule="exact"/>
        <w:ind w:firstLine="64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以</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业兴、家富、人和、村美</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为目标，结合田园综合体项目政策，准确把握</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建改保</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要求，因地制宜完善城乡规划体系，把新村聚居点建设、旧村落改造提升、传统院落民居保护作为提升农村居住环境的重要手段，着力打造具有历史记忆、地域特色、民俗特点、乡村情趣的幸福美丽新村。完善交通、电力、生活污水收集管网、污水处理设施、无害化卫生厕所改造建设等生活配套设施；全面推进乡村清洁工程、污水治理工程，建立健全乡村居民自我管理机制、清扫清运机制、经费保障机制等长效机制，切实改善乡村人居环境。完善农村公共服务，按照统筹推进</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三个集中</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的原则，以节约资源、信息共享为重点，整合村级公共服务和社会管理场所、设施等资源，统一规划，优化功能，集中投入，统筹建设政务服务中心、村级活动中心等公共服务平台，实行基础设施和公共服务设施的合理布局，全面覆盖，并逐步形成一套适应乡村居民生产生活方式转变要求、城乡一体的基本公共服务和社会管理标准体系。</w:t>
      </w:r>
    </w:p>
    <w:p w14:paraId="6D6E0009">
      <w:pPr>
        <w:pStyle w:val="4"/>
        <w:pageBreakBefore w:val="0"/>
        <w:kinsoku/>
        <w:overflowPunct/>
        <w:topLinePunct w:val="0"/>
        <w:autoSpaceDE/>
        <w:autoSpaceDN/>
        <w:bidi w:val="0"/>
        <w:adjustRightInd/>
        <w:snapToGrid/>
        <w:spacing w:line="240" w:lineRule="auto"/>
        <w:rPr>
          <w:rFonts w:hint="default" w:ascii="Times New Roman" w:hAnsi="Times New Roman" w:cs="仿宋_GB2312"/>
          <w:color w:val="auto"/>
          <w:sz w:val="32"/>
          <w:szCs w:val="32"/>
          <w:highlight w:val="none"/>
          <w:lang w:val="en-US" w:eastAsia="zh-CN"/>
        </w:rPr>
      </w:pPr>
      <w:bookmarkStart w:id="184" w:name="_Toc9537"/>
      <w:bookmarkStart w:id="185" w:name="_Toc7306"/>
      <w:bookmarkStart w:id="186" w:name="_Toc21902"/>
      <w:bookmarkStart w:id="187" w:name="_Toc29179"/>
      <w:r>
        <w:rPr>
          <w:rFonts w:hint="default" w:ascii="Times New Roman" w:hAnsi="Times New Roman" w:cs="仿宋_GB2312"/>
          <w:color w:val="auto"/>
          <w:sz w:val="32"/>
          <w:szCs w:val="32"/>
          <w:highlight w:val="none"/>
          <w:lang w:val="en-US" w:eastAsia="zh-CN"/>
        </w:rPr>
        <w:t>2.推进生态农旅深度融合发展</w:t>
      </w:r>
      <w:bookmarkEnd w:id="184"/>
      <w:bookmarkEnd w:id="185"/>
      <w:bookmarkEnd w:id="186"/>
      <w:bookmarkEnd w:id="187"/>
    </w:p>
    <w:p w14:paraId="072DE1CD">
      <w:pPr>
        <w:pageBreakBefore w:val="0"/>
        <w:kinsoku/>
        <w:overflowPunct/>
        <w:topLinePunct w:val="0"/>
        <w:autoSpaceDE/>
        <w:autoSpaceDN/>
        <w:bidi w:val="0"/>
        <w:adjustRightInd/>
        <w:snapToGrid/>
        <w:spacing w:line="590" w:lineRule="exact"/>
        <w:ind w:firstLine="64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科学合理谋划发展休闲农业与乡村旅游产业，加强农业休闲旅游产品设计和营销，大力发展集精品农业观光、特色农业体验、田园休闲度假、潮汕农耕文化熏陶、特色农产品展销、科普教育、研学游等于一体的综合性农业休闲旅游景区。以特色农业景观、加工工艺和生活体验作为旅游吸引物，带动农副产品加工、餐饮服务等相关产业发展。建设多功能乡村旅游区，发展农业科技研发作为旅游资源，以科技园、科普基地、博物馆、展览中心、国家、省级休闲农业与乡村旅游示范镇等为主要旅游景点，展示现代农业技术、潮汕传统精耕细作农耕文化，把现代科技产品与旅游服务、农业景观建设以及休闲娱乐活动密切融合起来，形成集教育、体验、观光、展示为一体的现代乡村旅游业。将农村产业融合发展与新型城镇化建设、新农村建设有机结合，建设传承传统文明和弘扬历史文化与旅游开发相结合的名镇名村。以点带面、点线结合，连片连线打造具有澄海特色的乡村风貌，推进全新美丽乡村精品路线建设。</w:t>
      </w:r>
    </w:p>
    <w:bookmarkEnd w:id="147"/>
    <w:p w14:paraId="33287B05">
      <w:pPr>
        <w:pStyle w:val="3"/>
        <w:keepNext/>
        <w:pageBreakBefore w:val="0"/>
        <w:spacing w:before="0" w:beforeLines="-2147483648" w:after="0" w:afterLines="-2147483648" w:line="360" w:lineRule="auto"/>
        <w:ind w:firstLine="640" w:firstLineChars="200"/>
        <w:jc w:val="both"/>
        <w:rPr>
          <w:rFonts w:hint="eastAsia" w:ascii="Times New Roman" w:hAnsi="Times New Roman" w:cs="Times New Roman"/>
          <w:b w:val="0"/>
          <w:bCs/>
          <w:color w:val="auto"/>
          <w:szCs w:val="44"/>
          <w:highlight w:val="none"/>
          <w:lang w:val="en-US" w:eastAsia="zh-CN"/>
        </w:rPr>
      </w:pPr>
      <w:bookmarkStart w:id="188" w:name="_Toc8594"/>
      <w:bookmarkStart w:id="189" w:name="_Toc24607"/>
      <w:bookmarkStart w:id="190" w:name="_Toc2361"/>
      <w:bookmarkStart w:id="191" w:name="_Toc24991"/>
      <w:bookmarkStart w:id="192" w:name="_Toc6680"/>
      <w:bookmarkStart w:id="193" w:name="_Toc19503"/>
      <w:bookmarkStart w:id="194" w:name="_Toc20304"/>
      <w:r>
        <w:rPr>
          <w:rFonts w:hint="eastAsia" w:ascii="Times New Roman" w:hAnsi="Times New Roman" w:cs="Times New Roman"/>
          <w:b w:val="0"/>
          <w:bCs/>
          <w:color w:val="auto"/>
          <w:szCs w:val="44"/>
          <w:highlight w:val="none"/>
          <w:lang w:val="en-US" w:eastAsia="zh-CN"/>
        </w:rPr>
        <w:t>六、重点工程项目</w:t>
      </w:r>
      <w:bookmarkEnd w:id="188"/>
    </w:p>
    <w:p w14:paraId="0581E62A">
      <w:pPr>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围绕产业园重点建设任务，以促进园区农业生产、加工、冷链、研发、示范、服务等相互融合和全产业链开发为主线，总投资</w:t>
      </w:r>
      <w:r>
        <w:rPr>
          <w:rFonts w:hint="default" w:ascii="Times New Roman" w:hAnsi="Times New Roman"/>
          <w:color w:val="auto"/>
          <w:highlight w:val="none"/>
          <w:lang w:val="en-US" w:eastAsia="zh-CN"/>
        </w:rPr>
        <w:t>191352</w:t>
      </w:r>
      <w:r>
        <w:rPr>
          <w:rFonts w:hint="eastAsia" w:ascii="Times New Roman" w:hAnsi="Times New Roman"/>
          <w:color w:val="auto"/>
          <w:highlight w:val="none"/>
          <w:lang w:val="en-US" w:eastAsia="zh-CN"/>
        </w:rPr>
        <w:t>万元，重点谋划以下四大工程7个重点建设项目。确定</w:t>
      </w:r>
      <w:r>
        <w:rPr>
          <w:rFonts w:hint="eastAsia" w:ascii="Times New Roman" w:hAnsi="Times New Roman"/>
          <w:b w:val="0"/>
          <w:bCs w:val="0"/>
          <w:color w:val="auto"/>
          <w:highlight w:val="none"/>
          <w:lang w:val="en-US" w:eastAsia="zh-CN"/>
        </w:rPr>
        <w:t>汕头市澄海区振农投资发展有限公司（国资委下属国有企业）为产业园平台企业，负责产业园建设和后续运营管理。</w:t>
      </w:r>
    </w:p>
    <w:p w14:paraId="0B171A42">
      <w:pPr>
        <w:pStyle w:val="4"/>
        <w:widowControl/>
        <w:spacing w:line="590" w:lineRule="exact"/>
        <w:ind w:firstLine="640"/>
        <w:rPr>
          <w:rFonts w:hint="eastAsia" w:ascii="Times New Roman" w:hAnsi="Times New Roman" w:eastAsia="楷体_GB2312" w:cs="楷体_GB2312"/>
          <w:color w:val="auto"/>
          <w:highlight w:val="none"/>
        </w:rPr>
      </w:pPr>
      <w:bookmarkStart w:id="195" w:name="_Toc2996"/>
      <w:r>
        <w:rPr>
          <w:rFonts w:hint="eastAsia" w:ascii="Times New Roman" w:hAnsi="Times New Roman" w:eastAsia="楷体_GB2312" w:cs="楷体_GB2312"/>
          <w:color w:val="auto"/>
          <w:highlight w:val="none"/>
        </w:rPr>
        <w:t>（一）</w:t>
      </w:r>
      <w:bookmarkEnd w:id="195"/>
      <w:r>
        <w:rPr>
          <w:rFonts w:hint="eastAsia" w:ascii="Times New Roman" w:hAnsi="Times New Roman" w:eastAsia="楷体_GB2312" w:cs="楷体_GB2312"/>
          <w:color w:val="auto"/>
          <w:highlight w:val="none"/>
        </w:rPr>
        <w:t>标准化狮头鹅养殖基地建设工程</w:t>
      </w:r>
    </w:p>
    <w:p w14:paraId="6431FD87">
      <w:pPr>
        <w:bidi w:val="0"/>
        <w:rPr>
          <w:rFonts w:hint="eastAsia" w:ascii="Times New Roman" w:hAnsi="Times New Roman"/>
          <w:color w:val="auto"/>
          <w:highlight w:val="none"/>
        </w:rPr>
      </w:pPr>
      <w:r>
        <w:rPr>
          <w:rFonts w:hint="eastAsia" w:ascii="Times New Roman" w:hAnsi="Times New Roman"/>
          <w:color w:val="auto"/>
          <w:highlight w:val="none"/>
        </w:rPr>
        <w:t>坚持保种与开发利用相结合的方针</w:t>
      </w:r>
      <w:r>
        <w:rPr>
          <w:rFonts w:hint="eastAsia" w:ascii="Times New Roman" w:hAnsi="Times New Roman"/>
          <w:color w:val="auto"/>
          <w:highlight w:val="none"/>
          <w:lang w:eastAsia="zh-CN"/>
        </w:rPr>
        <w:t>，</w:t>
      </w:r>
      <w:r>
        <w:rPr>
          <w:rFonts w:hint="eastAsia" w:ascii="Times New Roman" w:hAnsi="Times New Roman"/>
          <w:color w:val="auto"/>
          <w:highlight w:val="none"/>
        </w:rPr>
        <w:t>以提升种业自主创新能力，加强公益性和基础性研究，开展良种科研联合攻关为核心，实施狮头鹅种业振兴行动</w:t>
      </w:r>
      <w:r>
        <w:rPr>
          <w:rFonts w:hint="eastAsia" w:ascii="Times New Roman" w:hAnsi="Times New Roman"/>
          <w:color w:val="auto"/>
          <w:highlight w:val="none"/>
          <w:lang w:eastAsia="zh-CN"/>
        </w:rPr>
        <w:t>，</w:t>
      </w:r>
      <w:r>
        <w:rPr>
          <w:rFonts w:hint="eastAsia" w:ascii="Times New Roman" w:hAnsi="Times New Roman"/>
          <w:color w:val="auto"/>
          <w:highlight w:val="none"/>
        </w:rPr>
        <w:t>强化狮头鹅保种场（研发机构）创新主体地位</w:t>
      </w:r>
      <w:r>
        <w:rPr>
          <w:rFonts w:hint="eastAsia" w:ascii="Times New Roman" w:hAnsi="Times New Roman"/>
          <w:color w:val="auto"/>
          <w:highlight w:val="none"/>
          <w:lang w:eastAsia="zh-CN"/>
        </w:rPr>
        <w:t>，</w:t>
      </w:r>
      <w:r>
        <w:rPr>
          <w:rFonts w:hint="eastAsia" w:ascii="Times New Roman" w:hAnsi="Times New Roman"/>
          <w:color w:val="auto"/>
          <w:highlight w:val="none"/>
        </w:rPr>
        <w:t>构建“育繁推”一体化为发展方向的新型现代化技术服务体系，提升种源质量、自主创新能力、优质狮头鹅市场占有率。</w:t>
      </w:r>
    </w:p>
    <w:p w14:paraId="143DA316">
      <w:pPr>
        <w:pStyle w:val="4"/>
        <w:spacing w:line="240" w:lineRule="auto"/>
        <w:ind w:firstLine="643" w:firstLineChars="200"/>
        <w:rPr>
          <w:rFonts w:hint="default" w:ascii="Times New Roman" w:hAnsi="Times New Roman" w:cs="仿宋_GB2312"/>
          <w:color w:val="auto"/>
          <w:szCs w:val="32"/>
          <w:highlight w:val="none"/>
          <w:lang w:val="en-US" w:eastAsia="zh-CN"/>
        </w:rPr>
      </w:pPr>
      <w:r>
        <w:rPr>
          <w:rFonts w:hint="default" w:ascii="Times New Roman" w:hAnsi="Times New Roman" w:cs="仿宋_GB2312"/>
          <w:color w:val="auto"/>
          <w:szCs w:val="32"/>
          <w:highlight w:val="none"/>
          <w:lang w:val="en-US" w:eastAsia="zh-CN"/>
        </w:rPr>
        <w:t>1.种鹅标准化育种基地建设</w:t>
      </w:r>
    </w:p>
    <w:p w14:paraId="209C469B">
      <w:pPr>
        <w:ind w:firstLine="640"/>
        <w:rPr>
          <w:rFonts w:hint="eastAsia" w:ascii="Times New Roman" w:hAnsi="Times New Roman" w:cs="Times New Roman"/>
          <w:b w:val="0"/>
          <w:bCs w:val="0"/>
          <w:color w:val="auto"/>
          <w:highlight w:val="none"/>
          <w:lang w:val="en-US" w:eastAsia="zh-CN"/>
        </w:rPr>
      </w:pPr>
      <w:r>
        <w:rPr>
          <w:rFonts w:hint="eastAsia" w:ascii="Times New Roman" w:hAnsi="Times New Roman" w:cs="Times New Roman"/>
          <w:b/>
          <w:bCs/>
          <w:color w:val="auto"/>
          <w:highlight w:val="none"/>
          <w:lang w:val="en-US" w:eastAsia="zh-CN"/>
        </w:rPr>
        <w:t>建设地点：</w:t>
      </w:r>
      <w:r>
        <w:rPr>
          <w:rFonts w:hint="eastAsia" w:ascii="Times New Roman" w:hAnsi="Times New Roman" w:cs="Times New Roman"/>
          <w:b w:val="0"/>
          <w:bCs w:val="0"/>
          <w:color w:val="auto"/>
          <w:highlight w:val="none"/>
          <w:lang w:val="en-US" w:eastAsia="zh-CN"/>
        </w:rPr>
        <w:t>隆都镇、莲华镇、溪南镇、盐鸿镇、东里镇</w:t>
      </w:r>
    </w:p>
    <w:p w14:paraId="131B12A9">
      <w:pPr>
        <w:ind w:firstLine="640"/>
        <w:rPr>
          <w:rFonts w:hint="eastAsia" w:ascii="Times New Roman" w:hAnsi="Times New Roman" w:cs="Times New Roman"/>
          <w:b w:val="0"/>
          <w:bCs w:val="0"/>
          <w:color w:val="auto"/>
          <w:highlight w:val="none"/>
          <w:lang w:val="en-US" w:eastAsia="zh-CN"/>
        </w:rPr>
      </w:pPr>
      <w:r>
        <w:rPr>
          <w:rFonts w:hint="eastAsia" w:ascii="Times New Roman" w:hAnsi="Times New Roman" w:cs="Times New Roman"/>
          <w:b/>
          <w:bCs/>
          <w:color w:val="auto"/>
          <w:highlight w:val="none"/>
          <w:lang w:val="en-US" w:eastAsia="zh-CN"/>
        </w:rPr>
        <w:t>实施主体：</w:t>
      </w:r>
      <w:r>
        <w:rPr>
          <w:rFonts w:hint="eastAsia" w:ascii="Times New Roman" w:hAnsi="Times New Roman" w:cs="Times New Roman"/>
          <w:b w:val="0"/>
          <w:bCs w:val="0"/>
          <w:color w:val="auto"/>
          <w:highlight w:val="none"/>
          <w:lang w:val="en-US" w:eastAsia="zh-CN"/>
        </w:rPr>
        <w:t>汕头市澄海区潮鹏生态养殖有限公司、汕头市澄海区鸿图狮头鹅养殖有限公司、汕头市莲鸿禽业有限公司、汕头市正治禽业有限公司、汕头市进士洲农业发展有限公司5家实施主体</w:t>
      </w:r>
    </w:p>
    <w:p w14:paraId="1B283394">
      <w:pPr>
        <w:ind w:firstLine="640"/>
        <w:rPr>
          <w:rFonts w:hint="eastAsia" w:ascii="Times New Roman" w:hAnsi="Times New Roman" w:cs="Times New Roman"/>
          <w:b w:val="0"/>
          <w:bCs w:val="0"/>
          <w:color w:val="auto"/>
          <w:highlight w:val="none"/>
          <w:lang w:val="en-US" w:eastAsia="zh-CN"/>
        </w:rPr>
      </w:pPr>
      <w:r>
        <w:rPr>
          <w:rFonts w:hint="eastAsia" w:ascii="Times New Roman" w:hAnsi="Times New Roman" w:cs="Times New Roman"/>
          <w:b/>
          <w:bCs/>
          <w:color w:val="auto"/>
          <w:highlight w:val="none"/>
          <w:lang w:val="en-US" w:eastAsia="zh-CN"/>
        </w:rPr>
        <w:t>投资金额：</w:t>
      </w:r>
      <w:r>
        <w:rPr>
          <w:rFonts w:hint="eastAsia" w:ascii="Times New Roman" w:hAnsi="Times New Roman" w:cs="Times New Roman"/>
          <w:b w:val="0"/>
          <w:bCs w:val="0"/>
          <w:color w:val="auto"/>
          <w:highlight w:val="none"/>
          <w:lang w:val="en-US" w:eastAsia="zh-CN"/>
        </w:rPr>
        <w:t>项目总投资11032万元，其中中央财政奖补资金1000万元，</w:t>
      </w:r>
      <w:r>
        <w:rPr>
          <w:rFonts w:hint="eastAsia" w:ascii="Times New Roman" w:hAnsi="Times New Roman" w:cs="仿宋_GB2312"/>
          <w:i w:val="0"/>
          <w:iCs w:val="0"/>
          <w:color w:val="auto"/>
          <w:kern w:val="0"/>
          <w:sz w:val="32"/>
          <w:szCs w:val="32"/>
          <w:highlight w:val="none"/>
          <w:u w:val="none"/>
          <w:lang w:val="en-US" w:eastAsia="zh-CN" w:bidi="ar"/>
        </w:rPr>
        <w:t>金融、社会资本</w:t>
      </w:r>
      <w:r>
        <w:rPr>
          <w:rFonts w:hint="eastAsia" w:ascii="Times New Roman" w:hAnsi="Times New Roman" w:cs="Times New Roman"/>
          <w:b w:val="0"/>
          <w:bCs w:val="0"/>
          <w:color w:val="auto"/>
          <w:highlight w:val="none"/>
          <w:lang w:val="en-US" w:eastAsia="zh-CN"/>
        </w:rPr>
        <w:t>10032万元。</w:t>
      </w:r>
    </w:p>
    <w:p w14:paraId="2277B74A">
      <w:pPr>
        <w:ind w:firstLine="640"/>
        <w:rPr>
          <w:rFonts w:hint="default" w:ascii="Times New Roman" w:hAnsi="Times New Roman"/>
          <w:color w:val="auto"/>
          <w:highlight w:val="none"/>
          <w:lang w:val="en-US" w:eastAsia="zh-CN"/>
        </w:rPr>
      </w:pPr>
      <w:r>
        <w:rPr>
          <w:rFonts w:hint="eastAsia" w:ascii="Times New Roman" w:hAnsi="Times New Roman" w:eastAsia="仿宋_GB2312" w:cs="仿宋_GB2312"/>
          <w:b/>
          <w:bCs/>
          <w:color w:val="auto"/>
          <w:sz w:val="32"/>
          <w:szCs w:val="32"/>
          <w:highlight w:val="none"/>
          <w:lang w:val="en-US" w:eastAsia="zh-CN"/>
        </w:rPr>
        <w:t>建设期限：</w:t>
      </w:r>
      <w:r>
        <w:rPr>
          <w:rFonts w:hint="eastAsia" w:ascii="Times New Roman" w:hAnsi="Times New Roman" w:eastAsia="仿宋_GB2312" w:cs="仿宋_GB2312"/>
          <w:b w:val="0"/>
          <w:bCs w:val="0"/>
          <w:color w:val="auto"/>
          <w:sz w:val="32"/>
          <w:szCs w:val="32"/>
          <w:highlight w:val="none"/>
          <w:lang w:val="en-US" w:eastAsia="zh-CN"/>
        </w:rPr>
        <w:t>2024-202</w:t>
      </w:r>
      <w:r>
        <w:rPr>
          <w:rFonts w:hint="eastAsia" w:ascii="Times New Roman" w:hAnsi="Times New Roman" w:cs="仿宋_GB2312"/>
          <w:b w:val="0"/>
          <w:bCs w:val="0"/>
          <w:color w:val="auto"/>
          <w:sz w:val="32"/>
          <w:szCs w:val="32"/>
          <w:highlight w:val="none"/>
          <w:lang w:val="en-US" w:eastAsia="zh-CN"/>
        </w:rPr>
        <w:t>6</w:t>
      </w:r>
      <w:r>
        <w:rPr>
          <w:rFonts w:hint="eastAsia" w:ascii="Times New Roman" w:hAnsi="Times New Roman" w:eastAsia="仿宋_GB2312" w:cs="仿宋_GB2312"/>
          <w:b w:val="0"/>
          <w:bCs w:val="0"/>
          <w:color w:val="auto"/>
          <w:sz w:val="32"/>
          <w:szCs w:val="32"/>
          <w:highlight w:val="none"/>
          <w:lang w:val="en-US" w:eastAsia="zh-CN"/>
        </w:rPr>
        <w:t>年</w:t>
      </w:r>
    </w:p>
    <w:p w14:paraId="6B54DCC3">
      <w:pPr>
        <w:ind w:firstLine="640"/>
        <w:rPr>
          <w:rFonts w:hint="eastAsia" w:ascii="Times New Roman" w:hAnsi="Times New Roman" w:cs="Times New Roman"/>
          <w:b w:val="0"/>
          <w:bCs w:val="0"/>
          <w:color w:val="auto"/>
          <w:highlight w:val="none"/>
          <w:lang w:val="en-US" w:eastAsia="zh-CN"/>
        </w:rPr>
      </w:pPr>
      <w:r>
        <w:rPr>
          <w:rFonts w:hint="eastAsia" w:ascii="Times New Roman" w:hAnsi="Times New Roman" w:cs="Times New Roman"/>
          <w:b/>
          <w:bCs/>
          <w:color w:val="auto"/>
          <w:highlight w:val="none"/>
          <w:lang w:val="en-US" w:eastAsia="zh-CN"/>
        </w:rPr>
        <w:t>建设内容：</w:t>
      </w:r>
      <w:r>
        <w:rPr>
          <w:rFonts w:hint="eastAsia" w:ascii="Times New Roman" w:hAnsi="Times New Roman" w:cs="Times New Roman"/>
          <w:b w:val="0"/>
          <w:bCs w:val="0"/>
          <w:color w:val="auto"/>
          <w:highlight w:val="none"/>
          <w:lang w:val="en-US" w:eastAsia="zh-CN"/>
        </w:rPr>
        <w:t>进一步扩充完善狮头鹅良种繁育体系，升级改造狮头鹅标准化育种基地，示范带动全区标准化育种和优质鹅苗供应。</w:t>
      </w:r>
    </w:p>
    <w:p w14:paraId="252BB225">
      <w:pPr>
        <w:ind w:firstLine="640"/>
        <w:rPr>
          <w:rFonts w:hint="default" w:ascii="Times New Roman" w:hAnsi="Times New Roman"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财政资金主要用于：（1）建设/升级改造鹅舍；（2）孵化房及其配套设施；（3）供水、供电等基础设施建设；（4）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p>
    <w:p w14:paraId="1AD70D9D">
      <w:pPr>
        <w:pStyle w:val="4"/>
        <w:spacing w:line="240" w:lineRule="auto"/>
        <w:ind w:firstLine="643" w:firstLineChars="200"/>
        <w:rPr>
          <w:rFonts w:hint="default" w:ascii="Times New Roman" w:hAnsi="Times New Roman" w:cs="仿宋_GB2312"/>
          <w:color w:val="auto"/>
          <w:szCs w:val="32"/>
          <w:highlight w:val="none"/>
          <w:lang w:val="en-US" w:eastAsia="zh-CN"/>
        </w:rPr>
      </w:pPr>
      <w:r>
        <w:rPr>
          <w:rFonts w:hint="default" w:ascii="Times New Roman" w:hAnsi="Times New Roman" w:cs="仿宋_GB2312"/>
          <w:color w:val="auto"/>
          <w:szCs w:val="32"/>
          <w:highlight w:val="none"/>
          <w:lang w:val="en-US" w:eastAsia="zh-CN"/>
        </w:rPr>
        <w:t>2.肉鹅标准化养殖基地建设</w:t>
      </w:r>
    </w:p>
    <w:p w14:paraId="392FDEFB">
      <w:pPr>
        <w:ind w:firstLine="640"/>
        <w:rPr>
          <w:rFonts w:hint="default" w:ascii="Times New Roman" w:hAnsi="Times New Roman" w:cs="Times New Roman"/>
          <w:b w:val="0"/>
          <w:bCs w:val="0"/>
          <w:color w:val="auto"/>
          <w:highlight w:val="none"/>
          <w:lang w:val="en-US" w:eastAsia="zh-CN"/>
        </w:rPr>
      </w:pPr>
      <w:r>
        <w:rPr>
          <w:rFonts w:hint="eastAsia" w:ascii="Times New Roman" w:hAnsi="Times New Roman" w:cs="Times New Roman"/>
          <w:b/>
          <w:bCs/>
          <w:color w:val="auto"/>
          <w:highlight w:val="none"/>
          <w:lang w:val="en-US" w:eastAsia="zh-CN"/>
        </w:rPr>
        <w:t>建设地点：</w:t>
      </w:r>
      <w:r>
        <w:rPr>
          <w:rFonts w:hint="eastAsia" w:ascii="Times New Roman" w:hAnsi="Times New Roman" w:cs="Times New Roman"/>
          <w:b w:val="0"/>
          <w:bCs w:val="0"/>
          <w:color w:val="auto"/>
          <w:highlight w:val="none"/>
          <w:lang w:val="en-US" w:eastAsia="zh-CN"/>
        </w:rPr>
        <w:t>莲华镇、莲下镇、东里镇</w:t>
      </w:r>
    </w:p>
    <w:p w14:paraId="7AD4FED5">
      <w:pPr>
        <w:ind w:firstLine="640"/>
        <w:rPr>
          <w:rFonts w:hint="eastAsia" w:ascii="Times New Roman" w:hAnsi="Times New Roman" w:cs="Times New Roman"/>
          <w:b w:val="0"/>
          <w:bCs w:val="0"/>
          <w:color w:val="auto"/>
          <w:highlight w:val="none"/>
          <w:lang w:val="en-US" w:eastAsia="zh-CN"/>
        </w:rPr>
      </w:pPr>
      <w:r>
        <w:rPr>
          <w:rFonts w:hint="eastAsia" w:ascii="Times New Roman" w:hAnsi="Times New Roman" w:cs="Times New Roman"/>
          <w:b/>
          <w:bCs/>
          <w:color w:val="auto"/>
          <w:highlight w:val="none"/>
          <w:lang w:val="en-US" w:eastAsia="zh-CN"/>
        </w:rPr>
        <w:t>实施主体：</w:t>
      </w:r>
      <w:r>
        <w:rPr>
          <w:rFonts w:hint="eastAsia" w:ascii="Times New Roman" w:hAnsi="Times New Roman" w:cs="Times New Roman"/>
          <w:b w:val="0"/>
          <w:bCs w:val="0"/>
          <w:color w:val="auto"/>
          <w:highlight w:val="none"/>
          <w:lang w:val="en-US" w:eastAsia="zh-CN"/>
        </w:rPr>
        <w:t>汕头市莲鸿禽业有限公司、广东佳信绿康农业科技有限公司、汕头市鸿裕农业科技有限公司、汕头市进士洲农业发展有限公司实施主体4家</w:t>
      </w:r>
    </w:p>
    <w:p w14:paraId="7E9EB580">
      <w:pPr>
        <w:ind w:firstLine="640"/>
        <w:rPr>
          <w:rFonts w:hint="eastAsia" w:ascii="Times New Roman" w:hAnsi="Times New Roman" w:cs="Times New Roman"/>
          <w:b w:val="0"/>
          <w:bCs w:val="0"/>
          <w:color w:val="auto"/>
          <w:highlight w:val="none"/>
          <w:lang w:val="en-US" w:eastAsia="zh-CN"/>
        </w:rPr>
      </w:pPr>
      <w:r>
        <w:rPr>
          <w:rFonts w:hint="eastAsia" w:ascii="Times New Roman" w:hAnsi="Times New Roman" w:cs="Times New Roman"/>
          <w:b/>
          <w:bCs/>
          <w:color w:val="auto"/>
          <w:highlight w:val="none"/>
          <w:lang w:val="en-US" w:eastAsia="zh-CN"/>
        </w:rPr>
        <w:t>投资金额：</w:t>
      </w:r>
      <w:r>
        <w:rPr>
          <w:rFonts w:hint="eastAsia" w:ascii="Times New Roman" w:hAnsi="Times New Roman" w:cs="Times New Roman"/>
          <w:b w:val="0"/>
          <w:bCs w:val="0"/>
          <w:color w:val="auto"/>
          <w:highlight w:val="none"/>
          <w:lang w:val="en-US" w:eastAsia="zh-CN"/>
        </w:rPr>
        <w:t>项目总投资10027万元，其中中央财政奖补资金1000万元，</w:t>
      </w:r>
      <w:r>
        <w:rPr>
          <w:rFonts w:hint="eastAsia" w:ascii="Times New Roman" w:hAnsi="Times New Roman" w:cs="仿宋_GB2312"/>
          <w:i w:val="0"/>
          <w:iCs w:val="0"/>
          <w:color w:val="auto"/>
          <w:kern w:val="0"/>
          <w:sz w:val="32"/>
          <w:szCs w:val="32"/>
          <w:highlight w:val="none"/>
          <w:u w:val="none"/>
          <w:lang w:val="en-US" w:eastAsia="zh-CN" w:bidi="ar"/>
        </w:rPr>
        <w:t>金融、社会资本</w:t>
      </w:r>
      <w:r>
        <w:rPr>
          <w:rFonts w:hint="eastAsia" w:ascii="Times New Roman" w:hAnsi="Times New Roman" w:cs="Times New Roman"/>
          <w:b w:val="0"/>
          <w:bCs w:val="0"/>
          <w:color w:val="auto"/>
          <w:highlight w:val="none"/>
          <w:lang w:val="en-US" w:eastAsia="zh-CN"/>
        </w:rPr>
        <w:t>9027万元。</w:t>
      </w:r>
    </w:p>
    <w:p w14:paraId="18E92D0D">
      <w:pPr>
        <w:ind w:firstLine="640"/>
        <w:rPr>
          <w:rFonts w:hint="default" w:ascii="Times New Roman" w:hAnsi="Times New Roman"/>
          <w:color w:val="auto"/>
          <w:highlight w:val="none"/>
          <w:lang w:val="en-US" w:eastAsia="zh-CN"/>
        </w:rPr>
      </w:pPr>
      <w:r>
        <w:rPr>
          <w:rFonts w:hint="eastAsia" w:ascii="Times New Roman" w:hAnsi="Times New Roman" w:eastAsia="仿宋_GB2312" w:cs="仿宋_GB2312"/>
          <w:b/>
          <w:bCs/>
          <w:color w:val="auto"/>
          <w:sz w:val="32"/>
          <w:szCs w:val="32"/>
          <w:highlight w:val="none"/>
          <w:lang w:val="en-US" w:eastAsia="zh-CN"/>
        </w:rPr>
        <w:t>建设期限：</w:t>
      </w:r>
      <w:r>
        <w:rPr>
          <w:rFonts w:hint="eastAsia" w:ascii="Times New Roman" w:hAnsi="Times New Roman" w:eastAsia="仿宋_GB2312" w:cs="仿宋_GB2312"/>
          <w:b w:val="0"/>
          <w:bCs w:val="0"/>
          <w:color w:val="auto"/>
          <w:sz w:val="32"/>
          <w:szCs w:val="32"/>
          <w:highlight w:val="none"/>
          <w:lang w:val="en-US" w:eastAsia="zh-CN"/>
        </w:rPr>
        <w:t>2024-202</w:t>
      </w:r>
      <w:r>
        <w:rPr>
          <w:rFonts w:hint="eastAsia" w:ascii="Times New Roman" w:hAnsi="Times New Roman" w:cs="仿宋_GB2312"/>
          <w:b w:val="0"/>
          <w:bCs w:val="0"/>
          <w:color w:val="auto"/>
          <w:sz w:val="32"/>
          <w:szCs w:val="32"/>
          <w:highlight w:val="none"/>
          <w:lang w:val="en-US" w:eastAsia="zh-CN"/>
        </w:rPr>
        <w:t>6</w:t>
      </w:r>
      <w:r>
        <w:rPr>
          <w:rFonts w:hint="eastAsia" w:ascii="Times New Roman" w:hAnsi="Times New Roman" w:eastAsia="仿宋_GB2312" w:cs="仿宋_GB2312"/>
          <w:b w:val="0"/>
          <w:bCs w:val="0"/>
          <w:color w:val="auto"/>
          <w:sz w:val="32"/>
          <w:szCs w:val="32"/>
          <w:highlight w:val="none"/>
          <w:lang w:val="en-US" w:eastAsia="zh-CN"/>
        </w:rPr>
        <w:t>年</w:t>
      </w:r>
    </w:p>
    <w:p w14:paraId="2B0C5C2B">
      <w:pPr>
        <w:ind w:firstLine="640"/>
        <w:rPr>
          <w:rFonts w:hint="eastAsia" w:ascii="Times New Roman" w:hAnsi="Times New Roman" w:cs="Times New Roman"/>
          <w:b w:val="0"/>
          <w:bCs w:val="0"/>
          <w:color w:val="auto"/>
          <w:highlight w:val="none"/>
          <w:lang w:val="en-US" w:eastAsia="zh-CN"/>
        </w:rPr>
      </w:pPr>
      <w:r>
        <w:rPr>
          <w:rFonts w:hint="eastAsia" w:ascii="Times New Roman" w:hAnsi="Times New Roman" w:cs="Times New Roman"/>
          <w:b/>
          <w:bCs/>
          <w:color w:val="auto"/>
          <w:highlight w:val="none"/>
          <w:lang w:val="en-US" w:eastAsia="zh-CN"/>
        </w:rPr>
        <w:t>建设内容：</w:t>
      </w:r>
      <w:r>
        <w:rPr>
          <w:rFonts w:hint="eastAsia" w:ascii="Times New Roman" w:hAnsi="Times New Roman" w:cs="Times New Roman"/>
          <w:b w:val="0"/>
          <w:bCs w:val="0"/>
          <w:color w:val="auto"/>
          <w:highlight w:val="none"/>
          <w:lang w:val="en-US" w:eastAsia="zh-CN"/>
        </w:rPr>
        <w:t>按照“场区布局合理、设施制度完善、生产全程清洁、产出安全高效、资源循环利用、整体绿化美化”要求，升级建设现代化标准化狮头鹅养殖基地，形成现代化狮头鹅养殖集聚区。优化养殖规模结构，引导养殖场户升级改造，支持发展标准化规模养殖。</w:t>
      </w:r>
    </w:p>
    <w:p w14:paraId="186EE559">
      <w:pPr>
        <w:ind w:firstLine="640"/>
        <w:rPr>
          <w:rFonts w:hint="eastAsia" w:ascii="Times New Roman" w:hAnsi="Times New Roman"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财政资金主要用于：（1）建设/升级鹅舍及配套设施；（2）建设小水池及仓储设施；（3）育雏舍及配套设施建设；（4）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p>
    <w:p w14:paraId="3F0C2179">
      <w:pPr>
        <w:pStyle w:val="4"/>
        <w:widowControl/>
        <w:spacing w:line="590" w:lineRule="exact"/>
        <w:ind w:firstLine="640"/>
        <w:rPr>
          <w:rFonts w:hint="eastAsia" w:ascii="Times New Roman" w:hAnsi="Times New Roman" w:eastAsia="楷体_GB2312" w:cs="楷体_GB2312"/>
          <w:color w:val="auto"/>
          <w:highlight w:val="none"/>
        </w:rPr>
      </w:pPr>
      <w:bookmarkStart w:id="196" w:name="_Toc2197"/>
      <w:r>
        <w:rPr>
          <w:rFonts w:hint="eastAsia" w:ascii="Times New Roman" w:hAnsi="Times New Roman" w:eastAsia="楷体_GB2312" w:cs="楷体_GB2312"/>
          <w:color w:val="auto"/>
          <w:highlight w:val="none"/>
        </w:rPr>
        <w:t>（</w:t>
      </w:r>
      <w:r>
        <w:rPr>
          <w:rFonts w:hint="eastAsia" w:ascii="Times New Roman" w:hAnsi="Times New Roman" w:eastAsia="楷体_GB2312" w:cs="楷体_GB2312"/>
          <w:color w:val="auto"/>
          <w:highlight w:val="none"/>
          <w:lang w:val="en-US" w:eastAsia="zh-CN"/>
        </w:rPr>
        <w:t>二</w:t>
      </w:r>
      <w:r>
        <w:rPr>
          <w:rFonts w:hint="eastAsia" w:ascii="Times New Roman" w:hAnsi="Times New Roman" w:eastAsia="楷体_GB2312" w:cs="楷体_GB2312"/>
          <w:color w:val="auto"/>
          <w:highlight w:val="none"/>
        </w:rPr>
        <w:t>）</w:t>
      </w:r>
      <w:bookmarkEnd w:id="196"/>
      <w:r>
        <w:rPr>
          <w:rFonts w:hint="eastAsia" w:ascii="Times New Roman" w:hAnsi="Times New Roman" w:eastAsia="楷体_GB2312" w:cs="楷体_GB2312"/>
          <w:color w:val="auto"/>
          <w:highlight w:val="none"/>
        </w:rPr>
        <w:t>狮头鹅加工冷链提升工程</w:t>
      </w:r>
    </w:p>
    <w:p w14:paraId="0899FB5F">
      <w:pPr>
        <w:bidi w:val="0"/>
        <w:rPr>
          <w:rFonts w:hint="eastAsia" w:ascii="Times New Roman" w:hAnsi="Times New Roman"/>
          <w:color w:val="auto"/>
          <w:highlight w:val="none"/>
        </w:rPr>
      </w:pPr>
      <w:bookmarkStart w:id="197" w:name="_Toc11396"/>
      <w:r>
        <w:rPr>
          <w:rFonts w:hint="eastAsia" w:ascii="Times New Roman" w:hAnsi="Times New Roman"/>
          <w:color w:val="auto"/>
          <w:highlight w:val="none"/>
        </w:rPr>
        <w:t>坚定不移走“工业立市、产业强市”之路，建设和延伸“肉鹅养殖</w:t>
      </w:r>
      <w:r>
        <w:rPr>
          <w:rFonts w:hint="eastAsia" w:ascii="Times New Roman" w:hAnsi="Times New Roman"/>
          <w:color w:val="auto"/>
          <w:highlight w:val="none"/>
          <w:lang w:eastAsia="zh-CN"/>
        </w:rPr>
        <w:t>－</w:t>
      </w:r>
      <w:r>
        <w:rPr>
          <w:rFonts w:hint="eastAsia" w:ascii="Times New Roman" w:hAnsi="Times New Roman"/>
          <w:color w:val="auto"/>
          <w:highlight w:val="none"/>
        </w:rPr>
        <w:t>卤鹅加工</w:t>
      </w:r>
      <w:r>
        <w:rPr>
          <w:rFonts w:hint="eastAsia" w:ascii="Times New Roman" w:hAnsi="Times New Roman"/>
          <w:color w:val="auto"/>
          <w:highlight w:val="none"/>
          <w:lang w:eastAsia="zh-CN"/>
        </w:rPr>
        <w:t>－</w:t>
      </w:r>
      <w:r>
        <w:rPr>
          <w:rFonts w:hint="eastAsia" w:ascii="Times New Roman" w:hAnsi="Times New Roman"/>
          <w:color w:val="auto"/>
          <w:highlight w:val="none"/>
        </w:rPr>
        <w:t>品牌营销”产业链条，大力发展狮头鹅及附属产业深加工，提高狮头鹅产业附加值，拓展狮头鹅产业发展空间，提高生产和经营管理水平，创响“澄海狮头鹅”品牌，推动狮头鹅行业转型升级和高质量发展，打造狮头鹅百亿产业集群。</w:t>
      </w:r>
    </w:p>
    <w:p w14:paraId="784E92BF">
      <w:pPr>
        <w:pStyle w:val="4"/>
        <w:spacing w:line="240" w:lineRule="auto"/>
        <w:ind w:firstLine="643" w:firstLineChars="200"/>
        <w:rPr>
          <w:rFonts w:hint="default" w:ascii="Times New Roman" w:hAnsi="Times New Roman" w:cs="仿宋_GB2312"/>
          <w:color w:val="auto"/>
          <w:sz w:val="32"/>
          <w:szCs w:val="32"/>
          <w:highlight w:val="none"/>
          <w:lang w:val="en-US" w:eastAsia="zh-CN"/>
        </w:rPr>
      </w:pPr>
      <w:r>
        <w:rPr>
          <w:rFonts w:hint="default" w:ascii="Times New Roman" w:hAnsi="Times New Roman" w:cs="仿宋_GB2312"/>
          <w:color w:val="auto"/>
          <w:sz w:val="32"/>
          <w:szCs w:val="32"/>
          <w:highlight w:val="none"/>
          <w:lang w:val="en-US" w:eastAsia="zh-CN"/>
        </w:rPr>
        <w:t>1.生产加工基地建设项目</w:t>
      </w:r>
    </w:p>
    <w:p w14:paraId="142A430B">
      <w:pPr>
        <w:ind w:firstLine="640"/>
        <w:rPr>
          <w:rFonts w:hint="eastAsia"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bCs/>
          <w:color w:val="auto"/>
          <w:sz w:val="32"/>
          <w:szCs w:val="32"/>
          <w:highlight w:val="none"/>
          <w:lang w:val="en-US" w:eastAsia="zh-CN"/>
        </w:rPr>
        <w:t>建设地点：</w:t>
      </w:r>
      <w:r>
        <w:rPr>
          <w:rStyle w:val="47"/>
          <w:rFonts w:hint="eastAsia" w:ascii="Times New Roman" w:hAnsi="Times New Roman" w:eastAsia="仿宋_GB2312" w:cs="仿宋_GB2312"/>
          <w:color w:val="auto"/>
          <w:sz w:val="32"/>
          <w:szCs w:val="32"/>
          <w:highlight w:val="none"/>
          <w:lang w:val="en-US" w:eastAsia="zh-CN" w:bidi="ar"/>
        </w:rPr>
        <w:t>莲</w:t>
      </w:r>
      <w:r>
        <w:rPr>
          <w:rStyle w:val="47"/>
          <w:rFonts w:hint="eastAsia" w:ascii="Times New Roman" w:hAnsi="Times New Roman" w:cs="仿宋_GB2312"/>
          <w:color w:val="auto"/>
          <w:sz w:val="32"/>
          <w:szCs w:val="32"/>
          <w:highlight w:val="none"/>
          <w:lang w:val="en-US" w:eastAsia="zh-CN" w:bidi="ar"/>
        </w:rPr>
        <w:t>上</w:t>
      </w:r>
      <w:r>
        <w:rPr>
          <w:rStyle w:val="47"/>
          <w:rFonts w:hint="eastAsia" w:ascii="Times New Roman" w:hAnsi="Times New Roman" w:eastAsia="仿宋_GB2312" w:cs="仿宋_GB2312"/>
          <w:color w:val="auto"/>
          <w:sz w:val="32"/>
          <w:szCs w:val="32"/>
          <w:highlight w:val="none"/>
          <w:lang w:val="en-US" w:eastAsia="zh-CN" w:bidi="ar"/>
        </w:rPr>
        <w:t>镇</w:t>
      </w:r>
    </w:p>
    <w:p w14:paraId="3351E1A3">
      <w:pPr>
        <w:ind w:firstLine="640"/>
        <w:rPr>
          <w:rFonts w:hint="eastAsia"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bCs/>
          <w:color w:val="auto"/>
          <w:sz w:val="32"/>
          <w:szCs w:val="32"/>
          <w:highlight w:val="none"/>
          <w:lang w:val="en-US" w:eastAsia="zh-CN"/>
        </w:rPr>
        <w:t>实施主体：</w:t>
      </w:r>
      <w:r>
        <w:rPr>
          <w:rFonts w:hint="eastAsia" w:ascii="Times New Roman" w:hAnsi="Times New Roman" w:eastAsia="仿宋_GB2312" w:cs="仿宋_GB2312"/>
          <w:i w:val="0"/>
          <w:iCs w:val="0"/>
          <w:color w:val="auto"/>
          <w:kern w:val="0"/>
          <w:sz w:val="32"/>
          <w:szCs w:val="32"/>
          <w:highlight w:val="none"/>
          <w:u w:val="none"/>
          <w:lang w:val="en-US" w:eastAsia="zh-CN" w:bidi="ar"/>
        </w:rPr>
        <w:t>汕头市澄海区振农投资发展有限公司（平台企业）</w:t>
      </w:r>
    </w:p>
    <w:p w14:paraId="03E321FE">
      <w:pPr>
        <w:ind w:firstLine="640"/>
        <w:rPr>
          <w:rFonts w:hint="eastAsia"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bCs/>
          <w:color w:val="auto"/>
          <w:sz w:val="32"/>
          <w:szCs w:val="32"/>
          <w:highlight w:val="none"/>
          <w:lang w:val="en-US" w:eastAsia="zh-CN"/>
        </w:rPr>
        <w:t>投资金额：</w:t>
      </w:r>
      <w:r>
        <w:rPr>
          <w:rFonts w:hint="eastAsia" w:ascii="Times New Roman" w:hAnsi="Times New Roman" w:eastAsia="仿宋_GB2312" w:cs="仿宋_GB2312"/>
          <w:b w:val="0"/>
          <w:bCs w:val="0"/>
          <w:color w:val="auto"/>
          <w:sz w:val="32"/>
          <w:szCs w:val="32"/>
          <w:highlight w:val="none"/>
          <w:lang w:val="en-US" w:eastAsia="zh-CN"/>
        </w:rPr>
        <w:t>项目总投资1</w:t>
      </w:r>
      <w:r>
        <w:rPr>
          <w:rFonts w:hint="eastAsia" w:ascii="Times New Roman" w:hAnsi="Times New Roman" w:cs="仿宋_GB2312"/>
          <w:b w:val="0"/>
          <w:bCs w:val="0"/>
          <w:color w:val="auto"/>
          <w:sz w:val="32"/>
          <w:szCs w:val="32"/>
          <w:highlight w:val="none"/>
          <w:lang w:val="en-US" w:eastAsia="zh-CN"/>
        </w:rPr>
        <w:t>3560</w:t>
      </w:r>
      <w:r>
        <w:rPr>
          <w:rFonts w:hint="eastAsia" w:ascii="Times New Roman" w:hAnsi="Times New Roman" w:eastAsia="仿宋_GB2312" w:cs="仿宋_GB2312"/>
          <w:b w:val="0"/>
          <w:bCs w:val="0"/>
          <w:color w:val="auto"/>
          <w:sz w:val="32"/>
          <w:szCs w:val="32"/>
          <w:highlight w:val="none"/>
          <w:lang w:val="en-US" w:eastAsia="zh-CN"/>
        </w:rPr>
        <w:t>万元，其中中央财政奖补资金</w:t>
      </w:r>
      <w:r>
        <w:rPr>
          <w:rFonts w:hint="eastAsia" w:ascii="Times New Roman" w:hAnsi="Times New Roman" w:cs="仿宋_GB2312"/>
          <w:i w:val="0"/>
          <w:iCs w:val="0"/>
          <w:color w:val="auto"/>
          <w:kern w:val="0"/>
          <w:sz w:val="32"/>
          <w:szCs w:val="32"/>
          <w:highlight w:val="none"/>
          <w:u w:val="none"/>
          <w:lang w:val="en-US" w:eastAsia="zh-CN" w:bidi="ar"/>
        </w:rPr>
        <w:t>3760</w:t>
      </w:r>
      <w:r>
        <w:rPr>
          <w:rFonts w:hint="eastAsia" w:ascii="Times New Roman" w:hAnsi="Times New Roman" w:eastAsia="仿宋_GB2312" w:cs="仿宋_GB2312"/>
          <w:i w:val="0"/>
          <w:iCs w:val="0"/>
          <w:color w:val="auto"/>
          <w:kern w:val="0"/>
          <w:sz w:val="32"/>
          <w:szCs w:val="32"/>
          <w:highlight w:val="none"/>
          <w:u w:val="none"/>
          <w:lang w:val="en-US" w:eastAsia="zh-CN" w:bidi="ar"/>
        </w:rPr>
        <w:t>万元，</w:t>
      </w:r>
      <w:r>
        <w:rPr>
          <w:rFonts w:hint="eastAsia" w:ascii="Times New Roman" w:hAnsi="Times New Roman" w:cs="仿宋_GB2312"/>
          <w:i w:val="0"/>
          <w:iCs w:val="0"/>
          <w:color w:val="auto"/>
          <w:kern w:val="0"/>
          <w:sz w:val="32"/>
          <w:szCs w:val="32"/>
          <w:highlight w:val="none"/>
          <w:u w:val="none"/>
          <w:lang w:val="en-US" w:eastAsia="zh-CN" w:bidi="ar"/>
        </w:rPr>
        <w:t>金融、社会资本9800</w:t>
      </w:r>
      <w:r>
        <w:rPr>
          <w:rFonts w:hint="eastAsia" w:ascii="Times New Roman" w:hAnsi="Times New Roman" w:eastAsia="仿宋_GB2312" w:cs="仿宋_GB2312"/>
          <w:i w:val="0"/>
          <w:iCs w:val="0"/>
          <w:color w:val="auto"/>
          <w:kern w:val="0"/>
          <w:sz w:val="32"/>
          <w:szCs w:val="32"/>
          <w:highlight w:val="none"/>
          <w:u w:val="none"/>
          <w:lang w:val="en-US" w:eastAsia="zh-CN" w:bidi="ar"/>
        </w:rPr>
        <w:t>万元</w:t>
      </w:r>
      <w:r>
        <w:rPr>
          <w:rFonts w:hint="eastAsia" w:ascii="Times New Roman" w:hAnsi="Times New Roman" w:eastAsia="仿宋_GB2312" w:cs="仿宋_GB2312"/>
          <w:b w:val="0"/>
          <w:bCs w:val="0"/>
          <w:color w:val="auto"/>
          <w:sz w:val="32"/>
          <w:szCs w:val="32"/>
          <w:highlight w:val="none"/>
          <w:lang w:val="en-US" w:eastAsia="zh-CN"/>
        </w:rPr>
        <w:t>。</w:t>
      </w:r>
    </w:p>
    <w:p w14:paraId="6BD455C1">
      <w:pPr>
        <w:ind w:firstLine="640"/>
        <w:rPr>
          <w:rFonts w:hint="default"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bCs/>
          <w:color w:val="auto"/>
          <w:sz w:val="32"/>
          <w:szCs w:val="32"/>
          <w:highlight w:val="none"/>
          <w:lang w:val="en-US" w:eastAsia="zh-CN"/>
        </w:rPr>
        <w:t>建设期限：</w:t>
      </w:r>
      <w:r>
        <w:rPr>
          <w:rFonts w:hint="eastAsia" w:ascii="Times New Roman" w:hAnsi="Times New Roman" w:eastAsia="仿宋_GB2312" w:cs="仿宋_GB2312"/>
          <w:b w:val="0"/>
          <w:bCs w:val="0"/>
          <w:color w:val="auto"/>
          <w:sz w:val="32"/>
          <w:szCs w:val="32"/>
          <w:highlight w:val="none"/>
          <w:lang w:val="en-US" w:eastAsia="zh-CN"/>
        </w:rPr>
        <w:t>2024-2026年</w:t>
      </w:r>
    </w:p>
    <w:p w14:paraId="7D864A4A">
      <w:pPr>
        <w:ind w:firstLine="640"/>
        <w:rPr>
          <w:rFonts w:hint="eastAsia" w:ascii="Times New Roman" w:hAnsi="Times New Roman" w:eastAsia="仿宋_GB2312" w:cs="仿宋_GB2312"/>
          <w:b w:val="0"/>
          <w:bCs w:val="0"/>
          <w:i w:val="0"/>
          <w:iCs w:val="0"/>
          <w:color w:val="auto"/>
          <w:kern w:val="0"/>
          <w:sz w:val="32"/>
          <w:szCs w:val="32"/>
          <w:highlight w:val="none"/>
          <w:u w:val="none"/>
          <w:lang w:val="en-US" w:eastAsia="zh-CN" w:bidi="ar"/>
        </w:rPr>
      </w:pPr>
      <w:r>
        <w:rPr>
          <w:rFonts w:hint="eastAsia" w:ascii="Times New Roman" w:hAnsi="Times New Roman" w:eastAsia="仿宋_GB2312" w:cs="仿宋_GB2312"/>
          <w:b/>
          <w:bCs/>
          <w:color w:val="auto"/>
          <w:sz w:val="32"/>
          <w:szCs w:val="32"/>
          <w:highlight w:val="none"/>
          <w:lang w:val="en-US" w:eastAsia="zh-CN"/>
        </w:rPr>
        <w:t>建设内容：</w:t>
      </w:r>
      <w:r>
        <w:rPr>
          <w:rFonts w:hint="eastAsia" w:ascii="Times New Roman" w:hAnsi="Times New Roman" w:eastAsia="仿宋_GB2312" w:cs="仿宋_GB2312"/>
          <w:b w:val="0"/>
          <w:bCs w:val="0"/>
          <w:color w:val="auto"/>
          <w:sz w:val="32"/>
          <w:szCs w:val="32"/>
          <w:highlight w:val="none"/>
          <w:lang w:val="en-US" w:eastAsia="zh-CN"/>
        </w:rPr>
        <w:t>平台公司使用中央财政奖补资金购置约5亩土地及约10000㎡厂房后出租给产业园经营主体，每年收取租金，并将收益的30%用于支持乡村振兴建设</w:t>
      </w:r>
      <w:r>
        <w:rPr>
          <w:rFonts w:hint="eastAsia" w:ascii="Times New Roman" w:hAnsi="Times New Roman" w:eastAsia="仿宋_GB2312" w:cs="仿宋_GB2312"/>
          <w:i w:val="0"/>
          <w:iCs w:val="0"/>
          <w:color w:val="auto"/>
          <w:kern w:val="0"/>
          <w:sz w:val="32"/>
          <w:szCs w:val="32"/>
          <w:highlight w:val="none"/>
          <w:u w:val="none"/>
          <w:lang w:val="en-US" w:eastAsia="zh-CN" w:bidi="ar"/>
        </w:rPr>
        <w:t>。</w:t>
      </w:r>
    </w:p>
    <w:bookmarkEnd w:id="197"/>
    <w:p w14:paraId="15C43BD0">
      <w:pPr>
        <w:pStyle w:val="4"/>
        <w:widowControl/>
        <w:spacing w:line="590" w:lineRule="exact"/>
        <w:ind w:firstLine="640"/>
        <w:rPr>
          <w:rFonts w:hint="eastAsia" w:ascii="Times New Roman" w:hAnsi="Times New Roman" w:eastAsia="楷体_GB2312" w:cs="楷体_GB2312"/>
          <w:color w:val="auto"/>
          <w:highlight w:val="none"/>
        </w:rPr>
      </w:pPr>
      <w:r>
        <w:rPr>
          <w:rFonts w:hint="eastAsia" w:ascii="Times New Roman" w:hAnsi="Times New Roman" w:eastAsia="楷体_GB2312" w:cs="楷体_GB2312"/>
          <w:color w:val="auto"/>
          <w:highlight w:val="none"/>
          <w:lang w:eastAsia="zh-CN"/>
        </w:rPr>
        <w:t>（</w:t>
      </w:r>
      <w:r>
        <w:rPr>
          <w:rFonts w:hint="eastAsia" w:ascii="Times New Roman" w:hAnsi="Times New Roman" w:eastAsia="楷体_GB2312" w:cs="楷体_GB2312"/>
          <w:color w:val="auto"/>
          <w:highlight w:val="none"/>
          <w:lang w:val="en-US" w:eastAsia="zh-CN"/>
        </w:rPr>
        <w:t>三</w:t>
      </w:r>
      <w:r>
        <w:rPr>
          <w:rFonts w:hint="eastAsia" w:ascii="Times New Roman" w:hAnsi="Times New Roman" w:eastAsia="楷体_GB2312" w:cs="楷体_GB2312"/>
          <w:color w:val="auto"/>
          <w:highlight w:val="none"/>
          <w:lang w:eastAsia="zh-CN"/>
        </w:rPr>
        <w:t>）</w:t>
      </w:r>
      <w:r>
        <w:rPr>
          <w:rFonts w:hint="eastAsia" w:ascii="Times New Roman" w:hAnsi="Times New Roman" w:eastAsia="楷体_GB2312" w:cs="楷体_GB2312"/>
          <w:color w:val="auto"/>
          <w:highlight w:val="none"/>
        </w:rPr>
        <w:t>狮头鹅产业服务提升工程</w:t>
      </w:r>
    </w:p>
    <w:p w14:paraId="40C59706">
      <w:pPr>
        <w:pageBreakBefore w:val="0"/>
        <w:kinsoku/>
        <w:overflowPunct/>
        <w:topLinePunct w:val="0"/>
        <w:autoSpaceDE/>
        <w:autoSpaceDN/>
        <w:bidi w:val="0"/>
        <w:adjustRightInd/>
        <w:snapToGrid/>
        <w:spacing w:line="590" w:lineRule="exact"/>
        <w:ind w:firstLine="640"/>
        <w:rPr>
          <w:rFonts w:hint="default" w:ascii="Times New Roman" w:hAnsi="Times New Roman" w:cs="Times New Roman"/>
          <w:color w:val="auto"/>
          <w:sz w:val="32"/>
          <w:highlight w:val="none"/>
          <w:lang w:val="en-US" w:eastAsia="zh-CN"/>
        </w:rPr>
      </w:pPr>
      <w:r>
        <w:rPr>
          <w:rFonts w:hint="eastAsia" w:ascii="Times New Roman" w:hAnsi="Times New Roman" w:cs="Times New Roman"/>
          <w:color w:val="auto"/>
          <w:sz w:val="32"/>
          <w:highlight w:val="none"/>
          <w:lang w:val="en-US" w:eastAsia="zh-CN"/>
        </w:rPr>
        <w:t>优化资源配置，加速科技、资金、人才、土地、政策等现代要素往产业园集聚，打造创新创业平台，引进培育狮头鹅新型经营主体，以科技带动狮头鹅产业创新，以品牌宣传带动狮头鹅产品营销，打造狮头鹅产业集群。</w:t>
      </w:r>
    </w:p>
    <w:p w14:paraId="238845D4">
      <w:pPr>
        <w:pStyle w:val="4"/>
        <w:spacing w:line="240" w:lineRule="auto"/>
        <w:ind w:firstLine="643" w:firstLineChars="200"/>
        <w:rPr>
          <w:rFonts w:hint="default" w:ascii="Times New Roman" w:hAnsi="Times New Roman" w:cs="仿宋_GB2312"/>
          <w:color w:val="auto"/>
          <w:szCs w:val="32"/>
          <w:highlight w:val="none"/>
          <w:lang w:val="en-US" w:eastAsia="zh-CN"/>
        </w:rPr>
      </w:pPr>
      <w:r>
        <w:rPr>
          <w:rFonts w:hint="default" w:ascii="Times New Roman" w:hAnsi="Times New Roman" w:cs="仿宋_GB2312"/>
          <w:color w:val="auto"/>
          <w:szCs w:val="32"/>
          <w:highlight w:val="none"/>
          <w:lang w:val="en-US" w:eastAsia="zh-CN"/>
        </w:rPr>
        <w:t>1.狮头鹅原种保护和培育建设项目</w:t>
      </w:r>
    </w:p>
    <w:p w14:paraId="34E4C7D4">
      <w:pPr>
        <w:ind w:firstLine="640"/>
        <w:rPr>
          <w:rFonts w:hint="default" w:ascii="Times New Roman" w:hAnsi="Times New Roman" w:cs="Times New Roman"/>
          <w:b w:val="0"/>
          <w:bCs w:val="0"/>
          <w:color w:val="auto"/>
          <w:highlight w:val="none"/>
          <w:lang w:val="en-US" w:eastAsia="zh-CN"/>
        </w:rPr>
      </w:pPr>
      <w:r>
        <w:rPr>
          <w:rFonts w:hint="eastAsia" w:ascii="Times New Roman" w:hAnsi="Times New Roman" w:cs="Times New Roman"/>
          <w:b/>
          <w:bCs/>
          <w:color w:val="auto"/>
          <w:highlight w:val="none"/>
          <w:lang w:val="en-US" w:eastAsia="zh-CN"/>
        </w:rPr>
        <w:t>建设地点：</w:t>
      </w:r>
      <w:r>
        <w:rPr>
          <w:rFonts w:hint="eastAsia" w:ascii="Times New Roman" w:hAnsi="Times New Roman" w:cs="Times New Roman"/>
          <w:b w:val="0"/>
          <w:bCs w:val="0"/>
          <w:color w:val="auto"/>
          <w:highlight w:val="none"/>
          <w:lang w:val="en-US" w:eastAsia="zh-CN"/>
        </w:rPr>
        <w:t>凤翔街道、隆都镇</w:t>
      </w:r>
    </w:p>
    <w:p w14:paraId="253EDB72">
      <w:pPr>
        <w:ind w:firstLine="64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实施主体：</w:t>
      </w:r>
      <w:r>
        <w:rPr>
          <w:rFonts w:hint="eastAsia" w:ascii="Times New Roman" w:hAnsi="Times New Roman" w:cs="Times New Roman"/>
          <w:b w:val="0"/>
          <w:bCs w:val="0"/>
          <w:color w:val="auto"/>
          <w:highlight w:val="none"/>
          <w:lang w:val="en-US" w:eastAsia="zh-CN"/>
        </w:rPr>
        <w:t>汕头市白沙禽畜原种研究所</w:t>
      </w:r>
    </w:p>
    <w:p w14:paraId="3FD11EE4">
      <w:pPr>
        <w:ind w:firstLine="640"/>
        <w:rPr>
          <w:rFonts w:hint="eastAsia" w:ascii="Times New Roman" w:hAnsi="Times New Roman" w:cs="Times New Roman"/>
          <w:b w:val="0"/>
          <w:bCs w:val="0"/>
          <w:color w:val="auto"/>
          <w:highlight w:val="none"/>
          <w:lang w:val="en-US" w:eastAsia="zh-CN"/>
        </w:rPr>
      </w:pPr>
      <w:r>
        <w:rPr>
          <w:rFonts w:hint="eastAsia" w:ascii="Times New Roman" w:hAnsi="Times New Roman" w:cs="Times New Roman"/>
          <w:b/>
          <w:bCs/>
          <w:color w:val="auto"/>
          <w:highlight w:val="none"/>
          <w:lang w:val="en-US" w:eastAsia="zh-CN"/>
        </w:rPr>
        <w:t>投资金额：</w:t>
      </w:r>
      <w:r>
        <w:rPr>
          <w:rFonts w:hint="eastAsia" w:ascii="Times New Roman" w:hAnsi="Times New Roman" w:cs="Times New Roman"/>
          <w:b w:val="0"/>
          <w:bCs w:val="0"/>
          <w:color w:val="auto"/>
          <w:highlight w:val="none"/>
          <w:lang w:val="en-US" w:eastAsia="zh-CN"/>
        </w:rPr>
        <w:t>项目总投资780万元，其中中央财政奖补资金680万元，地方</w:t>
      </w:r>
      <w:r>
        <w:rPr>
          <w:rFonts w:hint="eastAsia" w:ascii="Times New Roman" w:hAnsi="Times New Roman" w:cs="仿宋_GB2312"/>
          <w:i w:val="0"/>
          <w:iCs w:val="0"/>
          <w:color w:val="auto"/>
          <w:kern w:val="0"/>
          <w:sz w:val="32"/>
          <w:szCs w:val="32"/>
          <w:highlight w:val="none"/>
          <w:u w:val="none"/>
          <w:lang w:val="en-US" w:eastAsia="zh-CN" w:bidi="ar"/>
        </w:rPr>
        <w:t>财政配套100万元</w:t>
      </w:r>
      <w:r>
        <w:rPr>
          <w:rFonts w:hint="eastAsia" w:ascii="Times New Roman" w:hAnsi="Times New Roman" w:cs="Times New Roman"/>
          <w:b w:val="0"/>
          <w:bCs w:val="0"/>
          <w:color w:val="auto"/>
          <w:highlight w:val="none"/>
          <w:lang w:val="en-US" w:eastAsia="zh-CN"/>
        </w:rPr>
        <w:t>。</w:t>
      </w:r>
    </w:p>
    <w:p w14:paraId="60F6ECB4">
      <w:pPr>
        <w:ind w:firstLine="640"/>
        <w:rPr>
          <w:rFonts w:hint="default"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bCs/>
          <w:color w:val="auto"/>
          <w:sz w:val="32"/>
          <w:szCs w:val="32"/>
          <w:highlight w:val="none"/>
          <w:lang w:val="en-US" w:eastAsia="zh-CN"/>
        </w:rPr>
        <w:t>建设期限：</w:t>
      </w:r>
      <w:r>
        <w:rPr>
          <w:rFonts w:hint="eastAsia" w:ascii="Times New Roman" w:hAnsi="Times New Roman" w:eastAsia="仿宋_GB2312" w:cs="仿宋_GB2312"/>
          <w:b w:val="0"/>
          <w:bCs w:val="0"/>
          <w:color w:val="auto"/>
          <w:sz w:val="32"/>
          <w:szCs w:val="32"/>
          <w:highlight w:val="none"/>
          <w:lang w:val="en-US" w:eastAsia="zh-CN"/>
        </w:rPr>
        <w:t>2024-2026年</w:t>
      </w:r>
    </w:p>
    <w:p w14:paraId="1E1B1690">
      <w:pPr>
        <w:ind w:firstLine="640"/>
        <w:rPr>
          <w:rFonts w:hint="eastAsia" w:ascii="Times New Roman" w:hAnsi="Times New Roman" w:cs="Times New Roman"/>
          <w:b w:val="0"/>
          <w:bCs w:val="0"/>
          <w:color w:val="auto"/>
          <w:highlight w:val="none"/>
          <w:lang w:val="en-US" w:eastAsia="zh-CN"/>
        </w:rPr>
      </w:pPr>
      <w:r>
        <w:rPr>
          <w:rFonts w:hint="eastAsia" w:ascii="Times New Roman" w:hAnsi="Times New Roman" w:cs="Times New Roman"/>
          <w:b/>
          <w:bCs/>
          <w:color w:val="auto"/>
          <w:highlight w:val="none"/>
          <w:lang w:val="en-US" w:eastAsia="zh-CN"/>
        </w:rPr>
        <w:t>建设内容：</w:t>
      </w:r>
      <w:r>
        <w:rPr>
          <w:rFonts w:hint="eastAsia" w:ascii="Times New Roman" w:hAnsi="Times New Roman" w:cs="Times New Roman"/>
          <w:b w:val="0"/>
          <w:bCs w:val="0"/>
          <w:color w:val="auto"/>
          <w:highlight w:val="none"/>
          <w:lang w:val="en-US" w:eastAsia="zh-CN"/>
        </w:rPr>
        <w:t>建设1个狮头鹅种质资源创新（新品系（配套系）培育）基地、1个狮头鹅遗传资源研究实验室并配套相关设施设备、初步构建1个种质资源遗传资源库、检测服务站设施设备及试剂购置。</w:t>
      </w:r>
    </w:p>
    <w:p w14:paraId="6BCA5817">
      <w:pPr>
        <w:ind w:firstLine="640"/>
        <w:rPr>
          <w:rFonts w:hint="eastAsia" w:ascii="Times New Roman" w:hAnsi="Times New Roman"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财政资金主要用于：（1）狮头鹅种质资源创新（新品系（配套系）培育）基地建设:新品种培育所需育种种鹅舍1栋及配套围栏、水电、小水体和自动投料刮粪等设施；育种后备舍1栋及配套围栏、水电、小水体和自动投料刮粪等设施；育雏舍1栋及配套育雏栏、水电及自动投料刮粪等设施；（2）狮头鹅遗传资源研究实验室及配套设施设备:升级改造狮头鹅遗传资源研究实验室；配套实验台、水电、桌椅等设施；购置实验冰箱、遗传育种、肉质测定等设备；（3）狮头鹅种质资源遗传资源库构建。主要用于基因测序、特征性状基因挖掘、开展血液生理生化指标、肉品质指标、肠道微生物及重点部位如肉瘤营养学测定等；（4）检测服务站实验设备。主要用于检测服务站购置霉菌霉素快速检测仪、兽药残留多通道检测仪及实验室基础设备（离心机、恒温培养箱、样品储存柜等）等。</w:t>
      </w:r>
    </w:p>
    <w:p w14:paraId="10EC36AA">
      <w:pPr>
        <w:pStyle w:val="4"/>
        <w:spacing w:line="240" w:lineRule="auto"/>
        <w:ind w:firstLine="643" w:firstLineChars="200"/>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cs="仿宋_GB2312"/>
          <w:color w:val="auto"/>
          <w:sz w:val="32"/>
          <w:szCs w:val="32"/>
          <w:highlight w:val="none"/>
          <w:lang w:val="en-US" w:eastAsia="zh-CN"/>
        </w:rPr>
        <w:t>2</w:t>
      </w:r>
      <w:r>
        <w:rPr>
          <w:rFonts w:hint="default" w:ascii="Times New Roman" w:hAnsi="Times New Roman" w:eastAsia="仿宋_GB2312" w:cs="仿宋_GB2312"/>
          <w:color w:val="auto"/>
          <w:sz w:val="32"/>
          <w:szCs w:val="32"/>
          <w:highlight w:val="none"/>
          <w:lang w:val="en-US" w:eastAsia="zh-CN"/>
        </w:rPr>
        <w:t>.</w:t>
      </w:r>
      <w:r>
        <w:rPr>
          <w:rFonts w:hint="default" w:ascii="Times New Roman" w:hAnsi="Times New Roman" w:eastAsia="仿宋_GB2312" w:cs="仿宋_GB2312"/>
          <w:i w:val="0"/>
          <w:iCs w:val="0"/>
          <w:color w:val="auto"/>
          <w:kern w:val="2"/>
          <w:sz w:val="32"/>
          <w:szCs w:val="32"/>
          <w:highlight w:val="none"/>
          <w:u w:val="none"/>
          <w:lang w:val="en-US" w:eastAsia="zh-CN" w:bidi="ar"/>
        </w:rPr>
        <w:t>澄海狮头鹅全产业链标准体系与区域品牌提升建设项目</w:t>
      </w:r>
    </w:p>
    <w:p w14:paraId="248FCC02">
      <w:pPr>
        <w:ind w:firstLine="640"/>
        <w:rPr>
          <w:rFonts w:hint="eastAsia"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bCs/>
          <w:color w:val="auto"/>
          <w:sz w:val="32"/>
          <w:szCs w:val="32"/>
          <w:highlight w:val="none"/>
          <w:lang w:val="en-US" w:eastAsia="zh-CN"/>
        </w:rPr>
        <w:t>建设地点：</w:t>
      </w:r>
      <w:r>
        <w:rPr>
          <w:rFonts w:hint="eastAsia" w:ascii="Times New Roman" w:hAnsi="Times New Roman" w:eastAsia="仿宋_GB2312" w:cs="仿宋_GB2312"/>
          <w:i w:val="0"/>
          <w:iCs w:val="0"/>
          <w:color w:val="auto"/>
          <w:kern w:val="0"/>
          <w:sz w:val="32"/>
          <w:szCs w:val="32"/>
          <w:highlight w:val="none"/>
          <w:u w:val="none"/>
          <w:lang w:val="en-US" w:eastAsia="zh-CN" w:bidi="ar"/>
        </w:rPr>
        <w:t>产业园全域</w:t>
      </w:r>
    </w:p>
    <w:p w14:paraId="7ABC4D83">
      <w:pPr>
        <w:ind w:firstLine="640"/>
        <w:rPr>
          <w:rFonts w:hint="eastAsia" w:ascii="Times New Roman" w:hAnsi="Times New Roman" w:eastAsia="仿宋_GB2312" w:cs="仿宋_GB2312"/>
          <w:b/>
          <w:bCs/>
          <w:color w:val="auto"/>
          <w:sz w:val="32"/>
          <w:szCs w:val="32"/>
          <w:highlight w:val="none"/>
          <w:lang w:val="en-US" w:eastAsia="zh-CN"/>
        </w:rPr>
      </w:pPr>
      <w:r>
        <w:rPr>
          <w:rFonts w:hint="eastAsia" w:ascii="Times New Roman" w:hAnsi="Times New Roman" w:eastAsia="仿宋_GB2312" w:cs="仿宋_GB2312"/>
          <w:b/>
          <w:bCs/>
          <w:color w:val="auto"/>
          <w:sz w:val="32"/>
          <w:szCs w:val="32"/>
          <w:highlight w:val="none"/>
          <w:lang w:val="en-US" w:eastAsia="zh-CN"/>
        </w:rPr>
        <w:t>实施主体：</w:t>
      </w:r>
      <w:r>
        <w:rPr>
          <w:rFonts w:hint="eastAsia" w:ascii="Times New Roman" w:hAnsi="Times New Roman" w:eastAsia="仿宋_GB2312" w:cs="仿宋_GB2312"/>
          <w:i w:val="0"/>
          <w:iCs w:val="0"/>
          <w:color w:val="auto"/>
          <w:kern w:val="0"/>
          <w:sz w:val="32"/>
          <w:szCs w:val="32"/>
          <w:highlight w:val="none"/>
          <w:u w:val="none"/>
          <w:lang w:val="en-US" w:eastAsia="zh-CN" w:bidi="ar"/>
        </w:rPr>
        <w:t>澄海区农业农村局</w:t>
      </w:r>
    </w:p>
    <w:p w14:paraId="02657FBE">
      <w:pPr>
        <w:ind w:firstLine="640"/>
        <w:rPr>
          <w:rFonts w:hint="eastAsia"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bCs/>
          <w:color w:val="auto"/>
          <w:sz w:val="32"/>
          <w:szCs w:val="32"/>
          <w:highlight w:val="none"/>
          <w:lang w:val="en-US" w:eastAsia="zh-CN"/>
        </w:rPr>
        <w:t>投资金额：</w:t>
      </w:r>
      <w:r>
        <w:rPr>
          <w:rFonts w:hint="eastAsia" w:ascii="Times New Roman" w:hAnsi="Times New Roman" w:eastAsia="仿宋_GB2312" w:cs="仿宋_GB2312"/>
          <w:b w:val="0"/>
          <w:bCs w:val="0"/>
          <w:color w:val="auto"/>
          <w:sz w:val="32"/>
          <w:szCs w:val="32"/>
          <w:highlight w:val="none"/>
          <w:lang w:val="en-US" w:eastAsia="zh-CN"/>
        </w:rPr>
        <w:t>项目总投资</w:t>
      </w:r>
      <w:r>
        <w:rPr>
          <w:rFonts w:hint="eastAsia" w:ascii="Times New Roman" w:hAnsi="Times New Roman" w:cs="仿宋_GB2312"/>
          <w:i w:val="0"/>
          <w:iCs w:val="0"/>
          <w:color w:val="auto"/>
          <w:kern w:val="0"/>
          <w:sz w:val="32"/>
          <w:szCs w:val="32"/>
          <w:highlight w:val="none"/>
          <w:u w:val="none"/>
          <w:lang w:val="en-US" w:eastAsia="zh-CN" w:bidi="ar"/>
        </w:rPr>
        <w:t>560</w:t>
      </w:r>
      <w:r>
        <w:rPr>
          <w:rFonts w:hint="eastAsia" w:ascii="Times New Roman" w:hAnsi="Times New Roman" w:eastAsia="仿宋_GB2312" w:cs="仿宋_GB2312"/>
          <w:b w:val="0"/>
          <w:bCs w:val="0"/>
          <w:color w:val="auto"/>
          <w:sz w:val="32"/>
          <w:szCs w:val="32"/>
          <w:highlight w:val="none"/>
          <w:lang w:val="en-US" w:eastAsia="zh-CN"/>
        </w:rPr>
        <w:t>万元，全部为中央财政奖补资金。</w:t>
      </w:r>
    </w:p>
    <w:p w14:paraId="43D56708">
      <w:pPr>
        <w:ind w:firstLine="640"/>
        <w:rPr>
          <w:rFonts w:hint="default"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bCs/>
          <w:color w:val="auto"/>
          <w:sz w:val="32"/>
          <w:szCs w:val="32"/>
          <w:highlight w:val="none"/>
          <w:lang w:val="en-US" w:eastAsia="zh-CN"/>
        </w:rPr>
        <w:t>建设期限：</w:t>
      </w:r>
      <w:r>
        <w:rPr>
          <w:rFonts w:hint="eastAsia" w:ascii="Times New Roman" w:hAnsi="Times New Roman" w:eastAsia="仿宋_GB2312" w:cs="仿宋_GB2312"/>
          <w:b w:val="0"/>
          <w:bCs w:val="0"/>
          <w:color w:val="auto"/>
          <w:sz w:val="32"/>
          <w:szCs w:val="32"/>
          <w:highlight w:val="none"/>
          <w:lang w:val="en-US" w:eastAsia="zh-CN"/>
        </w:rPr>
        <w:t>2024-2026年</w:t>
      </w:r>
    </w:p>
    <w:p w14:paraId="366559EE">
      <w:pPr>
        <w:ind w:firstLine="640"/>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b/>
          <w:bCs/>
          <w:color w:val="auto"/>
          <w:sz w:val="32"/>
          <w:szCs w:val="32"/>
          <w:highlight w:val="none"/>
          <w:lang w:val="en-US" w:eastAsia="zh-CN"/>
        </w:rPr>
        <w:t>建设内容：</w:t>
      </w:r>
      <w:r>
        <w:rPr>
          <w:rFonts w:hint="eastAsia" w:ascii="Times New Roman" w:hAnsi="Times New Roman" w:cs="仿宋_GB2312"/>
          <w:i w:val="0"/>
          <w:iCs w:val="0"/>
          <w:color w:val="auto"/>
          <w:kern w:val="0"/>
          <w:sz w:val="32"/>
          <w:szCs w:val="32"/>
          <w:highlight w:val="none"/>
          <w:u w:val="none"/>
          <w:lang w:val="en-US" w:eastAsia="zh-CN" w:bidi="ar"/>
        </w:rPr>
        <w:t>（1）</w:t>
      </w:r>
      <w:r>
        <w:rPr>
          <w:rFonts w:hint="eastAsia" w:ascii="Times New Roman" w:hAnsi="Times New Roman" w:eastAsia="仿宋_GB2312" w:cs="仿宋_GB2312"/>
          <w:i w:val="0"/>
          <w:iCs w:val="0"/>
          <w:color w:val="auto"/>
          <w:kern w:val="0"/>
          <w:sz w:val="32"/>
          <w:szCs w:val="32"/>
          <w:highlight w:val="none"/>
          <w:u w:val="none"/>
          <w:lang w:val="en-US" w:eastAsia="zh-CN" w:bidi="ar"/>
        </w:rPr>
        <w:t>与国内外主流媒体及社交媒体合作，开展品牌提升、宣传推广；举办澄海狮头鹅产业合作交流会，组织产业相关经营主体到省内外参加推介会和展览会，实现产销对接，开拓国内外市场。产业园亮牌树牌，打造文化展厅。</w:t>
      </w:r>
      <w:r>
        <w:rPr>
          <w:rFonts w:hint="eastAsia" w:ascii="Times New Roman" w:hAnsi="Times New Roman" w:cs="仿宋_GB2312"/>
          <w:i w:val="0"/>
          <w:iCs w:val="0"/>
          <w:color w:val="auto"/>
          <w:kern w:val="0"/>
          <w:sz w:val="32"/>
          <w:szCs w:val="32"/>
          <w:highlight w:val="none"/>
          <w:u w:val="none"/>
          <w:lang w:val="en-US" w:eastAsia="zh-CN" w:bidi="ar"/>
        </w:rPr>
        <w:t>（2）</w:t>
      </w:r>
      <w:r>
        <w:rPr>
          <w:rFonts w:hint="eastAsia" w:ascii="Times New Roman" w:hAnsi="Times New Roman" w:eastAsia="仿宋_GB2312" w:cs="仿宋_GB2312"/>
          <w:i w:val="0"/>
          <w:iCs w:val="0"/>
          <w:color w:val="auto"/>
          <w:kern w:val="0"/>
          <w:sz w:val="32"/>
          <w:szCs w:val="32"/>
          <w:highlight w:val="none"/>
          <w:u w:val="none"/>
          <w:lang w:val="en-US" w:eastAsia="zh-CN" w:bidi="ar"/>
        </w:rPr>
        <w:t>围绕澄海狮头鹅种鹅繁育标准、狮头鹅养殖基地标准、饲料质量标准、疫病防控标准、粪污及废弃物资源化利用标准、肉鹅屠宰标准、冰鲜鹅配送标准、肉鹅卤制加工标准、冷链流通标准、鹅毛羽绒加工、狮头鹅预制菜加工标准、狮头鹅可追溯与供应管理评价标准等全产业链标准体系，增补健全地方标准体系。申报“澄海狮头鹅”国家农产品地理标志。申报狮头鹅集体商标。</w:t>
      </w:r>
    </w:p>
    <w:p w14:paraId="4DB84A77">
      <w:pPr>
        <w:pStyle w:val="4"/>
        <w:widowControl/>
        <w:spacing w:line="590" w:lineRule="exact"/>
        <w:ind w:firstLine="640"/>
        <w:rPr>
          <w:rFonts w:hint="eastAsia" w:ascii="Times New Roman" w:hAnsi="Times New Roman" w:eastAsia="楷体_GB2312" w:cs="楷体_GB2312"/>
          <w:color w:val="auto"/>
          <w:highlight w:val="none"/>
        </w:rPr>
      </w:pPr>
      <w:bookmarkStart w:id="198" w:name="_Toc9265"/>
      <w:r>
        <w:rPr>
          <w:rFonts w:hint="eastAsia" w:ascii="Times New Roman" w:hAnsi="Times New Roman" w:eastAsia="楷体_GB2312" w:cs="楷体_GB2312"/>
          <w:color w:val="auto"/>
          <w:highlight w:val="none"/>
        </w:rPr>
        <w:t>（</w:t>
      </w:r>
      <w:r>
        <w:rPr>
          <w:rFonts w:hint="eastAsia" w:ascii="Times New Roman" w:hAnsi="Times New Roman" w:eastAsia="楷体_GB2312" w:cs="楷体_GB2312"/>
          <w:color w:val="auto"/>
          <w:highlight w:val="none"/>
          <w:lang w:val="en-US" w:eastAsia="zh-CN"/>
        </w:rPr>
        <w:t>四</w:t>
      </w:r>
      <w:r>
        <w:rPr>
          <w:rFonts w:hint="eastAsia" w:ascii="Times New Roman" w:hAnsi="Times New Roman" w:eastAsia="楷体_GB2312" w:cs="楷体_GB2312"/>
          <w:color w:val="auto"/>
          <w:highlight w:val="none"/>
        </w:rPr>
        <w:t>）</w:t>
      </w:r>
      <w:bookmarkEnd w:id="198"/>
      <w:r>
        <w:rPr>
          <w:rFonts w:hint="eastAsia" w:ascii="Times New Roman" w:hAnsi="Times New Roman" w:eastAsia="楷体_GB2312" w:cs="楷体_GB2312"/>
          <w:color w:val="auto"/>
          <w:highlight w:val="none"/>
        </w:rPr>
        <w:t>产业兴旺助力乡村振兴工程</w:t>
      </w:r>
    </w:p>
    <w:p w14:paraId="09A96305">
      <w:pPr>
        <w:pStyle w:val="14"/>
        <w:tabs>
          <w:tab w:val="left" w:pos="636"/>
        </w:tabs>
        <w:rPr>
          <w:rFonts w:hint="eastAsia" w:ascii="Times New Roman" w:hAnsi="Times New Roman"/>
          <w:color w:val="auto"/>
          <w:highlight w:val="none"/>
          <w:lang w:eastAsia="zh-CN"/>
        </w:rPr>
      </w:pPr>
      <w:r>
        <w:rPr>
          <w:rFonts w:hint="eastAsia" w:ascii="Times New Roman" w:hAnsi="Times New Roman"/>
          <w:color w:val="auto"/>
          <w:highlight w:val="none"/>
          <w:lang w:eastAsia="zh-CN"/>
        </w:rPr>
        <w:t>加快构建城乡融合的体制机制与政策体系，以产业园为战略平台，实施乡村振兴战略，以绿色城镇和幸福美丽新村为重点，推进产业园与农村现代化同步建设，不断完善农村基础设施和公共服务配套建设，加大环境综合治理和生态保护，不断改善农村生产生活条件。</w:t>
      </w:r>
    </w:p>
    <w:p w14:paraId="611C872C">
      <w:pPr>
        <w:pStyle w:val="4"/>
        <w:spacing w:line="240" w:lineRule="auto"/>
        <w:ind w:firstLine="643" w:firstLineChars="200"/>
        <w:rPr>
          <w:rFonts w:hint="default" w:ascii="Times New Roman" w:hAnsi="Times New Roman" w:eastAsia="仿宋_GB2312" w:cs="仿宋_GB2312"/>
          <w:color w:val="auto"/>
          <w:sz w:val="32"/>
          <w:szCs w:val="32"/>
          <w:highlight w:val="none"/>
          <w:lang w:val="en-US" w:eastAsia="zh-CN"/>
        </w:rPr>
      </w:pPr>
      <w:r>
        <w:rPr>
          <w:rFonts w:hint="default" w:ascii="Times New Roman" w:hAnsi="Times New Roman" w:eastAsia="仿宋_GB2312" w:cs="仿宋_GB2312"/>
          <w:color w:val="auto"/>
          <w:sz w:val="32"/>
          <w:szCs w:val="32"/>
          <w:highlight w:val="none"/>
          <w:lang w:val="en-US" w:eastAsia="zh-CN"/>
        </w:rPr>
        <w:t>1.</w:t>
      </w:r>
      <w:r>
        <w:rPr>
          <w:rFonts w:hint="default" w:ascii="Times New Roman" w:hAnsi="Times New Roman" w:eastAsia="仿宋_GB2312" w:cs="仿宋_GB2312"/>
          <w:i w:val="0"/>
          <w:iCs w:val="0"/>
          <w:color w:val="auto"/>
          <w:kern w:val="2"/>
          <w:sz w:val="32"/>
          <w:szCs w:val="32"/>
          <w:highlight w:val="none"/>
          <w:u w:val="none"/>
          <w:lang w:val="en-US" w:eastAsia="zh-CN" w:bidi="ar"/>
        </w:rPr>
        <w:t>加强狮头鹅产业基础设施保障建设项目</w:t>
      </w:r>
    </w:p>
    <w:p w14:paraId="636D1305">
      <w:pPr>
        <w:ind w:firstLine="640"/>
        <w:rPr>
          <w:rFonts w:hint="default"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bCs/>
          <w:color w:val="auto"/>
          <w:sz w:val="32"/>
          <w:szCs w:val="32"/>
          <w:highlight w:val="none"/>
          <w:lang w:val="en-US" w:eastAsia="zh-CN"/>
        </w:rPr>
        <w:t>建设地点：</w:t>
      </w:r>
      <w:r>
        <w:rPr>
          <w:rFonts w:hint="eastAsia" w:ascii="Times New Roman" w:hAnsi="Times New Roman" w:cs="仿宋_GB2312"/>
          <w:i w:val="0"/>
          <w:iCs w:val="0"/>
          <w:color w:val="auto"/>
          <w:kern w:val="0"/>
          <w:sz w:val="32"/>
          <w:szCs w:val="32"/>
          <w:highlight w:val="none"/>
          <w:u w:val="none"/>
          <w:lang w:val="en-US" w:eastAsia="zh-CN" w:bidi="ar"/>
        </w:rPr>
        <w:t>产业园全域</w:t>
      </w:r>
    </w:p>
    <w:p w14:paraId="77396CD4">
      <w:pPr>
        <w:ind w:firstLine="640"/>
        <w:rPr>
          <w:rFonts w:hint="eastAsia"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bCs/>
          <w:color w:val="auto"/>
          <w:sz w:val="32"/>
          <w:szCs w:val="32"/>
          <w:highlight w:val="none"/>
          <w:lang w:val="en-US" w:eastAsia="zh-CN"/>
        </w:rPr>
        <w:t>实施主体：</w:t>
      </w:r>
      <w:r>
        <w:rPr>
          <w:rStyle w:val="47"/>
          <w:rFonts w:hint="eastAsia" w:ascii="Times New Roman" w:hAnsi="Times New Roman" w:eastAsia="仿宋_GB2312" w:cs="仿宋_GB2312"/>
          <w:color w:val="auto"/>
          <w:sz w:val="32"/>
          <w:szCs w:val="32"/>
          <w:highlight w:val="none"/>
          <w:lang w:val="en-US" w:eastAsia="zh-CN" w:bidi="ar"/>
        </w:rPr>
        <w:t>产业园内相关镇人民政府和相关狮头鹅经营主体</w:t>
      </w:r>
    </w:p>
    <w:p w14:paraId="0DAF415B">
      <w:pPr>
        <w:ind w:firstLine="640"/>
        <w:rPr>
          <w:rFonts w:hint="eastAsia"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bCs/>
          <w:color w:val="auto"/>
          <w:sz w:val="32"/>
          <w:szCs w:val="32"/>
          <w:highlight w:val="none"/>
          <w:lang w:val="en-US" w:eastAsia="zh-CN"/>
        </w:rPr>
        <w:t>投资金额：</w:t>
      </w:r>
      <w:r>
        <w:rPr>
          <w:rFonts w:hint="eastAsia" w:ascii="Times New Roman" w:hAnsi="Times New Roman" w:eastAsia="仿宋_GB2312" w:cs="仿宋_GB2312"/>
          <w:b w:val="0"/>
          <w:bCs w:val="0"/>
          <w:color w:val="auto"/>
          <w:sz w:val="32"/>
          <w:szCs w:val="32"/>
          <w:highlight w:val="none"/>
          <w:lang w:val="en-US" w:eastAsia="zh-CN"/>
        </w:rPr>
        <w:t>项目总投资147633万元，其中</w:t>
      </w:r>
      <w:r>
        <w:rPr>
          <w:rFonts w:hint="eastAsia" w:ascii="Times New Roman" w:hAnsi="Times New Roman" w:eastAsia="仿宋_GB2312" w:cs="仿宋_GB2312"/>
          <w:i w:val="0"/>
          <w:iCs w:val="0"/>
          <w:color w:val="auto"/>
          <w:kern w:val="0"/>
          <w:sz w:val="32"/>
          <w:szCs w:val="32"/>
          <w:highlight w:val="none"/>
          <w:u w:val="none"/>
          <w:lang w:val="en-US" w:eastAsia="zh-CN" w:bidi="ar"/>
        </w:rPr>
        <w:t>地方</w:t>
      </w:r>
      <w:r>
        <w:rPr>
          <w:rFonts w:hint="eastAsia" w:ascii="Times New Roman" w:hAnsi="Times New Roman" w:cs="仿宋_GB2312"/>
          <w:i w:val="0"/>
          <w:iCs w:val="0"/>
          <w:color w:val="auto"/>
          <w:kern w:val="0"/>
          <w:sz w:val="32"/>
          <w:szCs w:val="32"/>
          <w:highlight w:val="none"/>
          <w:u w:val="none"/>
          <w:lang w:val="en-US" w:eastAsia="zh-CN" w:bidi="ar"/>
        </w:rPr>
        <w:t>财政配套</w:t>
      </w:r>
      <w:r>
        <w:rPr>
          <w:rFonts w:hint="eastAsia" w:ascii="Times New Roman" w:hAnsi="Times New Roman" w:eastAsia="仿宋_GB2312" w:cs="仿宋_GB2312"/>
          <w:i w:val="0"/>
          <w:iCs w:val="0"/>
          <w:color w:val="auto"/>
          <w:kern w:val="0"/>
          <w:sz w:val="32"/>
          <w:szCs w:val="32"/>
          <w:highlight w:val="none"/>
          <w:u w:val="none"/>
          <w:lang w:val="en-US" w:eastAsia="zh-CN" w:bidi="ar"/>
        </w:rPr>
        <w:t>资金67320万元，</w:t>
      </w:r>
      <w:r>
        <w:rPr>
          <w:rFonts w:hint="eastAsia" w:ascii="Times New Roman" w:hAnsi="Times New Roman" w:cs="仿宋_GB2312"/>
          <w:i w:val="0"/>
          <w:iCs w:val="0"/>
          <w:color w:val="auto"/>
          <w:kern w:val="0"/>
          <w:sz w:val="32"/>
          <w:szCs w:val="32"/>
          <w:highlight w:val="none"/>
          <w:u w:val="none"/>
          <w:lang w:val="en-US" w:eastAsia="zh-CN" w:bidi="ar"/>
        </w:rPr>
        <w:t>金融、社会资本80313</w:t>
      </w:r>
      <w:r>
        <w:rPr>
          <w:rFonts w:hint="eastAsia" w:ascii="Times New Roman" w:hAnsi="Times New Roman" w:eastAsia="仿宋_GB2312" w:cs="仿宋_GB2312"/>
          <w:i w:val="0"/>
          <w:iCs w:val="0"/>
          <w:color w:val="auto"/>
          <w:kern w:val="0"/>
          <w:sz w:val="32"/>
          <w:szCs w:val="32"/>
          <w:highlight w:val="none"/>
          <w:u w:val="none"/>
          <w:lang w:val="en-US" w:eastAsia="zh-CN" w:bidi="ar"/>
        </w:rPr>
        <w:t>万元</w:t>
      </w:r>
      <w:r>
        <w:rPr>
          <w:rFonts w:hint="eastAsia" w:ascii="Times New Roman" w:hAnsi="Times New Roman" w:eastAsia="仿宋_GB2312" w:cs="仿宋_GB2312"/>
          <w:b w:val="0"/>
          <w:bCs w:val="0"/>
          <w:color w:val="auto"/>
          <w:sz w:val="32"/>
          <w:szCs w:val="32"/>
          <w:highlight w:val="none"/>
          <w:lang w:val="en-US" w:eastAsia="zh-CN"/>
        </w:rPr>
        <w:t>。</w:t>
      </w:r>
    </w:p>
    <w:p w14:paraId="5453B6BB">
      <w:pPr>
        <w:ind w:firstLine="640"/>
        <w:rPr>
          <w:rFonts w:hint="default"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bCs/>
          <w:color w:val="auto"/>
          <w:sz w:val="32"/>
          <w:szCs w:val="32"/>
          <w:highlight w:val="none"/>
          <w:lang w:val="en-US" w:eastAsia="zh-CN"/>
        </w:rPr>
        <w:t>建设期限：</w:t>
      </w:r>
      <w:r>
        <w:rPr>
          <w:rFonts w:hint="eastAsia" w:ascii="Times New Roman" w:hAnsi="Times New Roman" w:eastAsia="仿宋_GB2312" w:cs="仿宋_GB2312"/>
          <w:b w:val="0"/>
          <w:bCs w:val="0"/>
          <w:color w:val="auto"/>
          <w:sz w:val="32"/>
          <w:szCs w:val="32"/>
          <w:highlight w:val="none"/>
          <w:lang w:val="en-US" w:eastAsia="zh-CN"/>
        </w:rPr>
        <w:t>2024-2026年</w:t>
      </w:r>
    </w:p>
    <w:p w14:paraId="5DED0DF0">
      <w:pPr>
        <w:ind w:firstLine="640"/>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b/>
          <w:bCs/>
          <w:color w:val="auto"/>
          <w:sz w:val="32"/>
          <w:szCs w:val="32"/>
          <w:highlight w:val="none"/>
          <w:lang w:val="en-US" w:eastAsia="zh-CN"/>
        </w:rPr>
        <w:t>建设内容：</w:t>
      </w:r>
      <w:r>
        <w:rPr>
          <w:rFonts w:hint="eastAsia" w:ascii="Times New Roman" w:hAnsi="Times New Roman" w:eastAsia="仿宋_GB2312" w:cs="仿宋_GB2312"/>
          <w:i w:val="0"/>
          <w:iCs w:val="0"/>
          <w:color w:val="auto"/>
          <w:kern w:val="0"/>
          <w:sz w:val="32"/>
          <w:szCs w:val="32"/>
          <w:highlight w:val="none"/>
          <w:u w:val="none"/>
          <w:lang w:val="en-US" w:eastAsia="zh-CN" w:bidi="ar"/>
        </w:rPr>
        <w:t>围绕狮头鹅产区，开展主要运输道路建设，加强农村生活用水、用电、用网等配套基础设施建设，保障狮头鹅基地正常生产需要</w:t>
      </w:r>
      <w:r>
        <w:rPr>
          <w:rFonts w:hint="eastAsia" w:ascii="Times New Roman" w:hAnsi="Times New Roman" w:cs="仿宋_GB2312"/>
          <w:i w:val="0"/>
          <w:iCs w:val="0"/>
          <w:color w:val="auto"/>
          <w:kern w:val="0"/>
          <w:sz w:val="32"/>
          <w:szCs w:val="32"/>
          <w:highlight w:val="none"/>
          <w:u w:val="none"/>
          <w:lang w:val="en-US" w:eastAsia="zh-CN" w:bidi="ar"/>
        </w:rPr>
        <w:t>。</w:t>
      </w:r>
    </w:p>
    <w:p w14:paraId="2F0050A0">
      <w:pPr>
        <w:pStyle w:val="4"/>
        <w:spacing w:line="240" w:lineRule="auto"/>
        <w:ind w:firstLine="643" w:firstLineChars="200"/>
        <w:rPr>
          <w:rFonts w:hint="default" w:ascii="Times New Roman" w:hAnsi="Times New Roman" w:eastAsia="仿宋_GB2312" w:cs="仿宋_GB2312"/>
          <w:color w:val="auto"/>
          <w:sz w:val="32"/>
          <w:szCs w:val="32"/>
          <w:highlight w:val="none"/>
          <w:lang w:val="en-US" w:eastAsia="zh-CN"/>
        </w:rPr>
      </w:pPr>
      <w:r>
        <w:rPr>
          <w:rFonts w:hint="default" w:ascii="Times New Roman" w:hAnsi="Times New Roman" w:eastAsia="仿宋_GB2312" w:cs="仿宋_GB2312"/>
          <w:color w:val="auto"/>
          <w:sz w:val="32"/>
          <w:szCs w:val="32"/>
          <w:highlight w:val="none"/>
          <w:lang w:val="en-US" w:eastAsia="zh-CN"/>
        </w:rPr>
        <w:t>2.</w:t>
      </w:r>
      <w:r>
        <w:rPr>
          <w:rFonts w:hint="default" w:ascii="Times New Roman" w:hAnsi="Times New Roman" w:eastAsia="仿宋_GB2312" w:cs="仿宋_GB2312"/>
          <w:i w:val="0"/>
          <w:iCs w:val="0"/>
          <w:color w:val="auto"/>
          <w:kern w:val="2"/>
          <w:sz w:val="32"/>
          <w:szCs w:val="32"/>
          <w:highlight w:val="none"/>
          <w:u w:val="none"/>
          <w:lang w:val="en-US" w:eastAsia="zh-CN" w:bidi="ar"/>
        </w:rPr>
        <w:t>产村融合建设项目</w:t>
      </w:r>
    </w:p>
    <w:p w14:paraId="3E1FAD21">
      <w:pPr>
        <w:ind w:firstLine="640"/>
        <w:rPr>
          <w:rFonts w:hint="eastAsia"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bCs/>
          <w:color w:val="auto"/>
          <w:sz w:val="32"/>
          <w:szCs w:val="32"/>
          <w:highlight w:val="none"/>
          <w:lang w:val="en-US" w:eastAsia="zh-CN"/>
        </w:rPr>
        <w:t>建设地点：</w:t>
      </w:r>
      <w:r>
        <w:rPr>
          <w:rFonts w:hint="eastAsia" w:ascii="Times New Roman" w:hAnsi="Times New Roman" w:cs="仿宋_GB2312"/>
          <w:b w:val="0"/>
          <w:bCs w:val="0"/>
          <w:color w:val="auto"/>
          <w:sz w:val="32"/>
          <w:szCs w:val="32"/>
          <w:highlight w:val="none"/>
          <w:lang w:val="en-US" w:eastAsia="zh-CN"/>
        </w:rPr>
        <w:t>产业园全域</w:t>
      </w:r>
    </w:p>
    <w:p w14:paraId="5BC1F4D3">
      <w:pPr>
        <w:ind w:firstLine="640"/>
        <w:rPr>
          <w:rFonts w:hint="eastAsia"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bCs/>
          <w:color w:val="auto"/>
          <w:sz w:val="32"/>
          <w:szCs w:val="32"/>
          <w:highlight w:val="none"/>
          <w:lang w:val="en-US" w:eastAsia="zh-CN"/>
        </w:rPr>
        <w:t>实施主体：</w:t>
      </w:r>
      <w:r>
        <w:rPr>
          <w:rStyle w:val="47"/>
          <w:rFonts w:hint="eastAsia" w:ascii="Times New Roman" w:hAnsi="Times New Roman" w:eastAsia="仿宋_GB2312" w:cs="仿宋_GB2312"/>
          <w:color w:val="auto"/>
          <w:sz w:val="32"/>
          <w:szCs w:val="32"/>
          <w:highlight w:val="none"/>
          <w:lang w:val="en-US" w:eastAsia="zh-CN" w:bidi="ar"/>
        </w:rPr>
        <w:t>产业园内相关镇人民政府和相关狮头鹅经营主体</w:t>
      </w:r>
    </w:p>
    <w:p w14:paraId="6098B816">
      <w:pPr>
        <w:ind w:firstLine="640"/>
        <w:rPr>
          <w:rFonts w:hint="eastAsia"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bCs/>
          <w:color w:val="auto"/>
          <w:sz w:val="32"/>
          <w:szCs w:val="32"/>
          <w:highlight w:val="none"/>
          <w:lang w:val="en-US" w:eastAsia="zh-CN"/>
        </w:rPr>
        <w:t>投资金额：</w:t>
      </w:r>
      <w:r>
        <w:rPr>
          <w:rFonts w:hint="eastAsia" w:ascii="Times New Roman" w:hAnsi="Times New Roman" w:eastAsia="仿宋_GB2312" w:cs="仿宋_GB2312"/>
          <w:b w:val="0"/>
          <w:bCs w:val="0"/>
          <w:color w:val="auto"/>
          <w:sz w:val="32"/>
          <w:szCs w:val="32"/>
          <w:highlight w:val="none"/>
          <w:lang w:val="en-US" w:eastAsia="zh-CN"/>
        </w:rPr>
        <w:t>项目总投资</w:t>
      </w:r>
      <w:r>
        <w:rPr>
          <w:rFonts w:hint="eastAsia" w:ascii="Times New Roman" w:hAnsi="Times New Roman" w:cs="仿宋_GB2312"/>
          <w:i w:val="0"/>
          <w:iCs w:val="0"/>
          <w:color w:val="auto"/>
          <w:kern w:val="0"/>
          <w:sz w:val="32"/>
          <w:szCs w:val="32"/>
          <w:highlight w:val="none"/>
          <w:u w:val="none"/>
          <w:lang w:val="en-US" w:eastAsia="zh-CN" w:bidi="ar"/>
        </w:rPr>
        <w:t>7760</w:t>
      </w:r>
      <w:r>
        <w:rPr>
          <w:rFonts w:hint="eastAsia" w:ascii="Times New Roman" w:hAnsi="Times New Roman" w:eastAsia="仿宋_GB2312" w:cs="仿宋_GB2312"/>
          <w:b w:val="0"/>
          <w:bCs w:val="0"/>
          <w:color w:val="auto"/>
          <w:sz w:val="32"/>
          <w:szCs w:val="32"/>
          <w:highlight w:val="none"/>
          <w:lang w:val="en-US" w:eastAsia="zh-CN"/>
        </w:rPr>
        <w:t>万元，全部为</w:t>
      </w:r>
      <w:r>
        <w:rPr>
          <w:rFonts w:hint="eastAsia" w:ascii="Times New Roman" w:hAnsi="Times New Roman" w:eastAsia="仿宋_GB2312" w:cs="仿宋_GB2312"/>
          <w:i w:val="0"/>
          <w:iCs w:val="0"/>
          <w:color w:val="auto"/>
          <w:kern w:val="0"/>
          <w:sz w:val="32"/>
          <w:szCs w:val="32"/>
          <w:highlight w:val="none"/>
          <w:u w:val="none"/>
          <w:lang w:val="en-US" w:eastAsia="zh-CN" w:bidi="ar"/>
        </w:rPr>
        <w:t>地方</w:t>
      </w:r>
      <w:r>
        <w:rPr>
          <w:rFonts w:hint="eastAsia" w:ascii="Times New Roman" w:hAnsi="Times New Roman" w:cs="仿宋_GB2312"/>
          <w:i w:val="0"/>
          <w:iCs w:val="0"/>
          <w:color w:val="auto"/>
          <w:kern w:val="0"/>
          <w:sz w:val="32"/>
          <w:szCs w:val="32"/>
          <w:highlight w:val="none"/>
          <w:u w:val="none"/>
          <w:lang w:val="en-US" w:eastAsia="zh-CN" w:bidi="ar"/>
        </w:rPr>
        <w:t>财政配套</w:t>
      </w:r>
      <w:r>
        <w:rPr>
          <w:rFonts w:hint="eastAsia" w:ascii="Times New Roman" w:hAnsi="Times New Roman" w:eastAsia="仿宋_GB2312" w:cs="仿宋_GB2312"/>
          <w:i w:val="0"/>
          <w:iCs w:val="0"/>
          <w:color w:val="auto"/>
          <w:kern w:val="0"/>
          <w:sz w:val="32"/>
          <w:szCs w:val="32"/>
          <w:highlight w:val="none"/>
          <w:u w:val="none"/>
          <w:lang w:val="en-US" w:eastAsia="zh-CN" w:bidi="ar"/>
        </w:rPr>
        <w:t>资金</w:t>
      </w:r>
      <w:r>
        <w:rPr>
          <w:rFonts w:hint="eastAsia" w:ascii="Times New Roman" w:hAnsi="Times New Roman" w:eastAsia="仿宋_GB2312" w:cs="仿宋_GB2312"/>
          <w:b w:val="0"/>
          <w:bCs w:val="0"/>
          <w:color w:val="auto"/>
          <w:sz w:val="32"/>
          <w:szCs w:val="32"/>
          <w:highlight w:val="none"/>
          <w:lang w:val="en-US" w:eastAsia="zh-CN"/>
        </w:rPr>
        <w:t>。</w:t>
      </w:r>
    </w:p>
    <w:p w14:paraId="63AAE849">
      <w:pPr>
        <w:ind w:firstLine="640"/>
        <w:rPr>
          <w:rFonts w:hint="default"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bCs/>
          <w:color w:val="auto"/>
          <w:sz w:val="32"/>
          <w:szCs w:val="32"/>
          <w:highlight w:val="none"/>
          <w:lang w:val="en-US" w:eastAsia="zh-CN"/>
        </w:rPr>
        <w:t>建设期限：</w:t>
      </w:r>
      <w:r>
        <w:rPr>
          <w:rFonts w:hint="eastAsia" w:ascii="Times New Roman" w:hAnsi="Times New Roman" w:eastAsia="仿宋_GB2312" w:cs="仿宋_GB2312"/>
          <w:b w:val="0"/>
          <w:bCs w:val="0"/>
          <w:color w:val="auto"/>
          <w:sz w:val="32"/>
          <w:szCs w:val="32"/>
          <w:highlight w:val="none"/>
          <w:lang w:val="en-US" w:eastAsia="zh-CN"/>
        </w:rPr>
        <w:t>2024-2026年</w:t>
      </w:r>
    </w:p>
    <w:p w14:paraId="7A3F88F7">
      <w:pPr>
        <w:ind w:firstLine="640"/>
        <w:rPr>
          <w:rStyle w:val="47"/>
          <w:rFonts w:hint="eastAsia" w:ascii="Times New Roman" w:hAnsi="Times New Roman" w:eastAsia="仿宋_GB2312" w:cs="仿宋_GB2312"/>
          <w:color w:val="auto"/>
          <w:sz w:val="32"/>
          <w:szCs w:val="32"/>
          <w:highlight w:val="none"/>
          <w:lang w:val="en-US" w:eastAsia="zh-CN" w:bidi="ar"/>
        </w:rPr>
      </w:pPr>
      <w:r>
        <w:rPr>
          <w:rFonts w:hint="eastAsia" w:ascii="Times New Roman" w:hAnsi="Times New Roman" w:eastAsia="仿宋_GB2312" w:cs="仿宋_GB2312"/>
          <w:b/>
          <w:bCs/>
          <w:color w:val="auto"/>
          <w:sz w:val="32"/>
          <w:szCs w:val="32"/>
          <w:highlight w:val="none"/>
          <w:lang w:val="en-US" w:eastAsia="zh-CN"/>
        </w:rPr>
        <w:t>建设内容：</w:t>
      </w:r>
      <w:r>
        <w:rPr>
          <w:rFonts w:hint="eastAsia" w:ascii="Times New Roman" w:hAnsi="Times New Roman" w:eastAsia="仿宋_GB2312" w:cs="仿宋_GB2312"/>
          <w:i w:val="0"/>
          <w:iCs w:val="0"/>
          <w:color w:val="auto"/>
          <w:kern w:val="0"/>
          <w:sz w:val="32"/>
          <w:szCs w:val="32"/>
          <w:highlight w:val="none"/>
          <w:u w:val="none"/>
          <w:lang w:val="en-US" w:eastAsia="zh-CN" w:bidi="ar"/>
        </w:rPr>
        <w:t>深入推进“百县千镇万村高质量发展工程”，将狮头鹅产业发展与美丽乡村建设相结合，充分挖掘狮头鹅文化，统筹地方涉农资金进一步完善狮头鹅文化宣传基础设施及狮头鹅主产区风貌提升等，建设狮头鹅主题的乡村振兴示范带。</w:t>
      </w:r>
    </w:p>
    <w:p w14:paraId="43BD6D93">
      <w:pPr>
        <w:pStyle w:val="14"/>
        <w:rPr>
          <w:rStyle w:val="47"/>
          <w:rFonts w:hint="eastAsia" w:ascii="Times New Roman" w:hAnsi="Times New Roman" w:eastAsia="仿宋_GB2312" w:cs="仿宋_GB2312"/>
          <w:color w:val="auto"/>
          <w:sz w:val="32"/>
          <w:szCs w:val="32"/>
          <w:highlight w:val="none"/>
          <w:lang w:val="en-US" w:eastAsia="zh-CN" w:bidi="ar"/>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26AA7099">
      <w:pPr>
        <w:keepNext w:val="0"/>
        <w:keepLines w:val="0"/>
        <w:pageBreakBefore w:val="0"/>
        <w:widowControl/>
        <w:suppressLineNumbers w:val="0"/>
        <w:kinsoku/>
        <w:wordWrap/>
        <w:overflowPunct/>
        <w:topLinePunct w:val="0"/>
        <w:autoSpaceDE/>
        <w:autoSpaceDN/>
        <w:bidi w:val="0"/>
        <w:adjustRightInd/>
        <w:snapToGrid/>
        <w:spacing w:line="590" w:lineRule="exact"/>
        <w:ind w:left="0" w:leftChars="0" w:firstLine="0" w:firstLineChars="0"/>
        <w:jc w:val="center"/>
        <w:textAlignment w:val="center"/>
        <w:rPr>
          <w:rFonts w:hint="eastAsia" w:ascii="Times New Roman" w:hAnsi="Times New Roman" w:eastAsia="黑体" w:cs="Times New Roman"/>
          <w:b w:val="0"/>
          <w:bCs w:val="0"/>
          <w:color w:val="auto"/>
          <w:sz w:val="28"/>
          <w:szCs w:val="28"/>
          <w:highlight w:val="none"/>
          <w:lang w:val="en-US" w:eastAsia="zh-CN"/>
        </w:rPr>
      </w:pPr>
      <w:r>
        <w:rPr>
          <w:rFonts w:hint="default" w:ascii="Times New Roman" w:hAnsi="Times New Roman" w:eastAsia="黑体" w:cs="Times New Roman"/>
          <w:b w:val="0"/>
          <w:bCs w:val="0"/>
          <w:color w:val="auto"/>
          <w:sz w:val="28"/>
          <w:szCs w:val="28"/>
          <w:highlight w:val="none"/>
          <w:lang w:val="en-US" w:eastAsia="zh-CN"/>
        </w:rPr>
        <w:t>广东省汕头市澄海区国家现代农业产业园</w:t>
      </w:r>
      <w:r>
        <w:rPr>
          <w:rFonts w:hint="eastAsia" w:ascii="Times New Roman" w:hAnsi="Times New Roman" w:eastAsia="黑体" w:cs="Times New Roman"/>
          <w:b w:val="0"/>
          <w:bCs w:val="0"/>
          <w:color w:val="auto"/>
          <w:sz w:val="28"/>
          <w:szCs w:val="28"/>
          <w:highlight w:val="none"/>
          <w:lang w:val="en-US" w:eastAsia="zh-CN"/>
        </w:rPr>
        <w:t>重点建设项目及投资估算表</w:t>
      </w:r>
    </w:p>
    <w:tbl>
      <w:tblPr>
        <w:tblStyle w:val="2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8"/>
        <w:gridCol w:w="1005"/>
        <w:gridCol w:w="984"/>
        <w:gridCol w:w="1198"/>
        <w:gridCol w:w="1150"/>
        <w:gridCol w:w="5152"/>
        <w:gridCol w:w="1052"/>
        <w:gridCol w:w="945"/>
        <w:gridCol w:w="976"/>
        <w:gridCol w:w="1157"/>
      </w:tblGrid>
      <w:tr w14:paraId="230AF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489586">
            <w:pPr>
              <w:keepNext w:val="0"/>
              <w:keepLines w:val="0"/>
              <w:widowControl/>
              <w:suppressLineNumbers w:val="0"/>
              <w:spacing w:line="300" w:lineRule="exact"/>
              <w:ind w:firstLine="0" w:firstLineChars="0"/>
              <w:jc w:val="center"/>
              <w:textAlignment w:val="center"/>
              <w:rPr>
                <w:rFonts w:hint="eastAsia" w:ascii="黑体" w:hAnsi="宋体" w:eastAsia="黑体" w:cs="黑体"/>
                <w:b/>
                <w:bCs/>
                <w:i w:val="0"/>
                <w:iCs w:val="0"/>
                <w:color w:val="auto"/>
                <w:sz w:val="24"/>
                <w:szCs w:val="24"/>
                <w:u w:val="none"/>
              </w:rPr>
            </w:pPr>
            <w:r>
              <w:rPr>
                <w:rFonts w:hint="eastAsia" w:ascii="黑体" w:hAnsi="宋体" w:eastAsia="黑体" w:cs="黑体"/>
                <w:b/>
                <w:bCs/>
                <w:i w:val="0"/>
                <w:iCs w:val="0"/>
                <w:color w:val="auto"/>
                <w:kern w:val="0"/>
                <w:sz w:val="24"/>
                <w:szCs w:val="24"/>
                <w:u w:val="none"/>
                <w:lang w:val="en-US" w:eastAsia="zh-CN" w:bidi="ar"/>
              </w:rPr>
              <w:t>序号</w:t>
            </w:r>
          </w:p>
        </w:tc>
        <w:tc>
          <w:tcPr>
            <w:tcW w:w="3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3DB607">
            <w:pPr>
              <w:keepNext w:val="0"/>
              <w:keepLines w:val="0"/>
              <w:widowControl/>
              <w:suppressLineNumbers w:val="0"/>
              <w:spacing w:line="300" w:lineRule="exact"/>
              <w:ind w:firstLine="0" w:firstLineChars="0"/>
              <w:jc w:val="center"/>
              <w:textAlignment w:val="center"/>
              <w:rPr>
                <w:rFonts w:hint="eastAsia" w:ascii="黑体" w:hAnsi="宋体" w:eastAsia="黑体" w:cs="黑体"/>
                <w:b/>
                <w:bCs/>
                <w:i w:val="0"/>
                <w:iCs w:val="0"/>
                <w:color w:val="auto"/>
                <w:sz w:val="24"/>
                <w:szCs w:val="24"/>
                <w:u w:val="none"/>
              </w:rPr>
            </w:pPr>
            <w:r>
              <w:rPr>
                <w:rFonts w:hint="eastAsia" w:ascii="黑体" w:hAnsi="宋体" w:eastAsia="黑体" w:cs="黑体"/>
                <w:b/>
                <w:bCs/>
                <w:i w:val="0"/>
                <w:iCs w:val="0"/>
                <w:color w:val="auto"/>
                <w:kern w:val="0"/>
                <w:sz w:val="24"/>
                <w:szCs w:val="24"/>
                <w:u w:val="none"/>
                <w:lang w:val="en-US" w:eastAsia="zh-CN" w:bidi="ar"/>
              </w:rPr>
              <w:t>项目名称</w:t>
            </w:r>
          </w:p>
        </w:tc>
        <w:tc>
          <w:tcPr>
            <w:tcW w:w="3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F381C3">
            <w:pPr>
              <w:keepNext w:val="0"/>
              <w:keepLines w:val="0"/>
              <w:widowControl/>
              <w:suppressLineNumbers w:val="0"/>
              <w:spacing w:line="300" w:lineRule="exact"/>
              <w:ind w:firstLine="0" w:firstLineChars="0"/>
              <w:jc w:val="center"/>
              <w:textAlignment w:val="center"/>
              <w:rPr>
                <w:rFonts w:hint="eastAsia" w:ascii="黑体" w:hAnsi="宋体" w:eastAsia="黑体" w:cs="黑体"/>
                <w:b/>
                <w:bCs/>
                <w:i w:val="0"/>
                <w:iCs w:val="0"/>
                <w:color w:val="auto"/>
                <w:sz w:val="24"/>
                <w:szCs w:val="24"/>
                <w:u w:val="none"/>
              </w:rPr>
            </w:pPr>
            <w:r>
              <w:rPr>
                <w:rFonts w:hint="eastAsia" w:ascii="黑体" w:hAnsi="宋体" w:eastAsia="黑体" w:cs="黑体"/>
                <w:b/>
                <w:bCs/>
                <w:i w:val="0"/>
                <w:iCs w:val="0"/>
                <w:color w:val="auto"/>
                <w:kern w:val="0"/>
                <w:sz w:val="24"/>
                <w:szCs w:val="24"/>
                <w:u w:val="none"/>
                <w:lang w:val="en-US" w:eastAsia="zh-CN" w:bidi="ar"/>
              </w:rPr>
              <w:t>实施年度</w:t>
            </w:r>
          </w:p>
        </w:tc>
        <w:tc>
          <w:tcPr>
            <w:tcW w:w="4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337D27">
            <w:pPr>
              <w:keepNext w:val="0"/>
              <w:keepLines w:val="0"/>
              <w:widowControl/>
              <w:suppressLineNumbers w:val="0"/>
              <w:spacing w:line="300" w:lineRule="exact"/>
              <w:ind w:firstLine="0" w:firstLineChars="0"/>
              <w:jc w:val="center"/>
              <w:textAlignment w:val="center"/>
              <w:rPr>
                <w:rFonts w:hint="eastAsia" w:ascii="黑体" w:hAnsi="宋体" w:eastAsia="黑体" w:cs="黑体"/>
                <w:b/>
                <w:bCs/>
                <w:i w:val="0"/>
                <w:iCs w:val="0"/>
                <w:color w:val="auto"/>
                <w:sz w:val="24"/>
                <w:szCs w:val="24"/>
                <w:u w:val="none"/>
              </w:rPr>
            </w:pPr>
            <w:r>
              <w:rPr>
                <w:rFonts w:hint="eastAsia" w:ascii="黑体" w:hAnsi="宋体" w:eastAsia="黑体" w:cs="黑体"/>
                <w:b/>
                <w:bCs/>
                <w:i w:val="0"/>
                <w:iCs w:val="0"/>
                <w:color w:val="auto"/>
                <w:kern w:val="0"/>
                <w:sz w:val="24"/>
                <w:szCs w:val="24"/>
                <w:u w:val="none"/>
                <w:lang w:val="en-US" w:eastAsia="zh-CN" w:bidi="ar"/>
              </w:rPr>
              <w:t>实施主体</w:t>
            </w:r>
          </w:p>
        </w:tc>
        <w:tc>
          <w:tcPr>
            <w:tcW w:w="2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CEF8CC">
            <w:pPr>
              <w:keepNext w:val="0"/>
              <w:keepLines w:val="0"/>
              <w:widowControl/>
              <w:suppressLineNumbers w:val="0"/>
              <w:spacing w:line="300" w:lineRule="exact"/>
              <w:ind w:firstLine="0" w:firstLineChars="0"/>
              <w:jc w:val="center"/>
              <w:textAlignment w:val="center"/>
              <w:rPr>
                <w:rFonts w:hint="eastAsia" w:ascii="黑体" w:hAnsi="宋体" w:eastAsia="黑体" w:cs="黑体"/>
                <w:b/>
                <w:bCs/>
                <w:i w:val="0"/>
                <w:iCs w:val="0"/>
                <w:color w:val="auto"/>
                <w:sz w:val="24"/>
                <w:szCs w:val="24"/>
                <w:u w:val="none"/>
              </w:rPr>
            </w:pPr>
            <w:r>
              <w:rPr>
                <w:rFonts w:hint="eastAsia" w:ascii="黑体" w:hAnsi="宋体" w:eastAsia="黑体" w:cs="黑体"/>
                <w:b/>
                <w:bCs/>
                <w:i w:val="0"/>
                <w:iCs w:val="0"/>
                <w:color w:val="auto"/>
                <w:kern w:val="0"/>
                <w:sz w:val="24"/>
                <w:szCs w:val="24"/>
                <w:u w:val="none"/>
                <w:lang w:val="en-US" w:eastAsia="zh-CN" w:bidi="ar"/>
              </w:rPr>
              <w:t>建设地点</w:t>
            </w:r>
          </w:p>
        </w:tc>
        <w:tc>
          <w:tcPr>
            <w:tcW w:w="17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F91113">
            <w:pPr>
              <w:keepNext w:val="0"/>
              <w:keepLines w:val="0"/>
              <w:widowControl/>
              <w:suppressLineNumbers w:val="0"/>
              <w:spacing w:line="300" w:lineRule="exact"/>
              <w:ind w:firstLine="0" w:firstLineChars="0"/>
              <w:jc w:val="center"/>
              <w:textAlignment w:val="center"/>
              <w:rPr>
                <w:rFonts w:hint="eastAsia" w:ascii="黑体" w:hAnsi="宋体" w:eastAsia="黑体" w:cs="黑体"/>
                <w:b/>
                <w:bCs/>
                <w:i w:val="0"/>
                <w:iCs w:val="0"/>
                <w:color w:val="auto"/>
                <w:sz w:val="24"/>
                <w:szCs w:val="24"/>
                <w:u w:val="none"/>
              </w:rPr>
            </w:pPr>
            <w:r>
              <w:rPr>
                <w:rFonts w:hint="eastAsia" w:ascii="黑体" w:hAnsi="宋体" w:eastAsia="黑体" w:cs="黑体"/>
                <w:b/>
                <w:bCs/>
                <w:i w:val="0"/>
                <w:iCs w:val="0"/>
                <w:color w:val="auto"/>
                <w:kern w:val="0"/>
                <w:sz w:val="24"/>
                <w:szCs w:val="24"/>
                <w:u w:val="none"/>
                <w:lang w:val="en-US" w:eastAsia="zh-CN" w:bidi="ar"/>
              </w:rPr>
              <w:t>建设内容及规模</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BF766">
            <w:pPr>
              <w:spacing w:line="300" w:lineRule="exact"/>
              <w:jc w:val="center"/>
              <w:rPr>
                <w:rFonts w:hint="default" w:ascii="Times New Roman" w:hAnsi="Times New Roman" w:eastAsia="宋体" w:cs="Times New Roman"/>
                <w:b/>
                <w:bCs/>
                <w:i w:val="0"/>
                <w:iCs w:val="0"/>
                <w:color w:val="auto"/>
                <w:sz w:val="24"/>
                <w:szCs w:val="24"/>
                <w:u w:val="none"/>
              </w:rPr>
            </w:pPr>
          </w:p>
        </w:tc>
        <w:tc>
          <w:tcPr>
            <w:tcW w:w="107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52D1BD">
            <w:pPr>
              <w:keepNext w:val="0"/>
              <w:keepLines w:val="0"/>
              <w:widowControl/>
              <w:suppressLineNumbers w:val="0"/>
              <w:spacing w:line="300" w:lineRule="exact"/>
              <w:ind w:firstLine="0" w:firstLineChars="0"/>
              <w:jc w:val="center"/>
              <w:textAlignment w:val="center"/>
              <w:rPr>
                <w:rFonts w:hint="eastAsia" w:ascii="黑体" w:hAnsi="宋体" w:eastAsia="黑体" w:cs="黑体"/>
                <w:b/>
                <w:bCs/>
                <w:i w:val="0"/>
                <w:iCs w:val="0"/>
                <w:color w:val="auto"/>
                <w:sz w:val="24"/>
                <w:szCs w:val="24"/>
                <w:u w:val="none"/>
              </w:rPr>
            </w:pPr>
            <w:r>
              <w:rPr>
                <w:rFonts w:hint="eastAsia" w:ascii="黑体" w:hAnsi="宋体" w:eastAsia="黑体" w:cs="黑体"/>
                <w:b/>
                <w:bCs/>
                <w:i w:val="0"/>
                <w:iCs w:val="0"/>
                <w:color w:val="auto"/>
                <w:kern w:val="0"/>
                <w:sz w:val="24"/>
                <w:szCs w:val="24"/>
                <w:u w:val="none"/>
                <w:lang w:val="en-US" w:eastAsia="zh-CN" w:bidi="ar"/>
              </w:rPr>
              <w:t>资金来源（万元）</w:t>
            </w:r>
          </w:p>
        </w:tc>
      </w:tr>
      <w:tr w14:paraId="14BA6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DD80F">
            <w:pPr>
              <w:spacing w:line="300" w:lineRule="exact"/>
              <w:jc w:val="center"/>
              <w:rPr>
                <w:rFonts w:hint="eastAsia" w:ascii="黑体" w:hAnsi="宋体" w:eastAsia="黑体" w:cs="黑体"/>
                <w:b/>
                <w:bCs/>
                <w:i w:val="0"/>
                <w:iCs w:val="0"/>
                <w:color w:val="auto"/>
                <w:sz w:val="24"/>
                <w:szCs w:val="24"/>
                <w:u w:val="none"/>
              </w:rPr>
            </w:pPr>
          </w:p>
        </w:tc>
        <w:tc>
          <w:tcPr>
            <w:tcW w:w="3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61C9D">
            <w:pPr>
              <w:spacing w:line="300" w:lineRule="exact"/>
              <w:jc w:val="center"/>
              <w:rPr>
                <w:rFonts w:hint="eastAsia" w:ascii="黑体" w:hAnsi="宋体" w:eastAsia="黑体" w:cs="黑体"/>
                <w:b/>
                <w:bCs/>
                <w:i w:val="0"/>
                <w:iCs w:val="0"/>
                <w:color w:val="auto"/>
                <w:sz w:val="24"/>
                <w:szCs w:val="24"/>
                <w:u w:val="none"/>
              </w:rPr>
            </w:pPr>
          </w:p>
        </w:tc>
        <w:tc>
          <w:tcPr>
            <w:tcW w:w="3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3FBA68">
            <w:pPr>
              <w:spacing w:line="300" w:lineRule="exact"/>
              <w:jc w:val="center"/>
              <w:rPr>
                <w:rFonts w:hint="eastAsia" w:ascii="黑体" w:hAnsi="宋体" w:eastAsia="黑体" w:cs="黑体"/>
                <w:b/>
                <w:bCs/>
                <w:i w:val="0"/>
                <w:iCs w:val="0"/>
                <w:color w:val="auto"/>
                <w:sz w:val="24"/>
                <w:szCs w:val="24"/>
                <w:u w:val="none"/>
              </w:rPr>
            </w:pP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5314D0">
            <w:pPr>
              <w:spacing w:line="300" w:lineRule="exact"/>
              <w:jc w:val="center"/>
              <w:rPr>
                <w:rFonts w:hint="eastAsia" w:ascii="黑体" w:hAnsi="宋体" w:eastAsia="黑体" w:cs="黑体"/>
                <w:b/>
                <w:bCs/>
                <w:i w:val="0"/>
                <w:iCs w:val="0"/>
                <w:color w:val="auto"/>
                <w:sz w:val="24"/>
                <w:szCs w:val="24"/>
                <w:u w:val="none"/>
              </w:rPr>
            </w:pPr>
          </w:p>
        </w:tc>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B8DA8">
            <w:pPr>
              <w:spacing w:line="300" w:lineRule="exact"/>
              <w:jc w:val="center"/>
              <w:rPr>
                <w:rFonts w:hint="eastAsia" w:ascii="黑体" w:hAnsi="宋体" w:eastAsia="黑体" w:cs="黑体"/>
                <w:b/>
                <w:bCs/>
                <w:i w:val="0"/>
                <w:iCs w:val="0"/>
                <w:color w:val="auto"/>
                <w:sz w:val="24"/>
                <w:szCs w:val="24"/>
                <w:u w:val="none"/>
              </w:rPr>
            </w:pPr>
          </w:p>
        </w:tc>
        <w:tc>
          <w:tcPr>
            <w:tcW w:w="17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166147">
            <w:pPr>
              <w:spacing w:line="300" w:lineRule="exact"/>
              <w:jc w:val="center"/>
              <w:rPr>
                <w:rFonts w:hint="eastAsia" w:ascii="黑体" w:hAnsi="宋体" w:eastAsia="黑体" w:cs="黑体"/>
                <w:b/>
                <w:bCs/>
                <w:i w:val="0"/>
                <w:iCs w:val="0"/>
                <w:color w:val="auto"/>
                <w:sz w:val="24"/>
                <w:szCs w:val="24"/>
                <w:u w:val="none"/>
              </w:rPr>
            </w:pPr>
          </w:p>
        </w:tc>
        <w:tc>
          <w:tcPr>
            <w:tcW w:w="3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8A956B">
            <w:pPr>
              <w:keepNext w:val="0"/>
              <w:keepLines w:val="0"/>
              <w:widowControl/>
              <w:suppressLineNumbers w:val="0"/>
              <w:spacing w:line="300" w:lineRule="exact"/>
              <w:ind w:firstLine="0" w:firstLineChars="0"/>
              <w:jc w:val="center"/>
              <w:textAlignment w:val="center"/>
              <w:rPr>
                <w:rFonts w:hint="eastAsia" w:ascii="黑体" w:hAnsi="宋体" w:eastAsia="黑体" w:cs="黑体"/>
                <w:b/>
                <w:bCs/>
                <w:i w:val="0"/>
                <w:iCs w:val="0"/>
                <w:color w:val="auto"/>
                <w:sz w:val="24"/>
                <w:szCs w:val="24"/>
                <w:u w:val="none"/>
              </w:rPr>
            </w:pPr>
            <w:r>
              <w:rPr>
                <w:rFonts w:hint="eastAsia" w:ascii="黑体" w:hAnsi="宋体" w:eastAsia="黑体" w:cs="黑体"/>
                <w:b/>
                <w:bCs/>
                <w:i w:val="0"/>
                <w:iCs w:val="0"/>
                <w:color w:val="auto"/>
                <w:kern w:val="0"/>
                <w:sz w:val="24"/>
                <w:szCs w:val="24"/>
                <w:u w:val="none"/>
                <w:lang w:val="en-US" w:eastAsia="zh-CN" w:bidi="ar"/>
              </w:rPr>
              <w:t>投资估算（万元）</w:t>
            </w:r>
          </w:p>
        </w:tc>
        <w:tc>
          <w:tcPr>
            <w:tcW w:w="3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685A7A">
            <w:pPr>
              <w:keepNext w:val="0"/>
              <w:keepLines w:val="0"/>
              <w:widowControl/>
              <w:suppressLineNumbers w:val="0"/>
              <w:spacing w:line="300" w:lineRule="exact"/>
              <w:ind w:firstLine="0" w:firstLineChars="0"/>
              <w:jc w:val="center"/>
              <w:textAlignment w:val="center"/>
              <w:rPr>
                <w:rFonts w:hint="eastAsia" w:ascii="黑体" w:hAnsi="宋体" w:eastAsia="黑体" w:cs="黑体"/>
                <w:b/>
                <w:bCs/>
                <w:i w:val="0"/>
                <w:iCs w:val="0"/>
                <w:color w:val="auto"/>
                <w:sz w:val="24"/>
                <w:szCs w:val="24"/>
                <w:u w:val="none"/>
              </w:rPr>
            </w:pPr>
            <w:r>
              <w:rPr>
                <w:rFonts w:hint="eastAsia" w:ascii="黑体" w:hAnsi="宋体" w:eastAsia="黑体" w:cs="黑体"/>
                <w:b/>
                <w:bCs/>
                <w:i w:val="0"/>
                <w:iCs w:val="0"/>
                <w:color w:val="auto"/>
                <w:kern w:val="0"/>
                <w:sz w:val="24"/>
                <w:szCs w:val="24"/>
                <w:u w:val="none"/>
                <w:lang w:val="en-US" w:eastAsia="zh-CN" w:bidi="ar"/>
              </w:rPr>
              <w:t>中央财政</w:t>
            </w:r>
          </w:p>
        </w:tc>
        <w:tc>
          <w:tcPr>
            <w:tcW w:w="3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EACE91">
            <w:pPr>
              <w:keepNext w:val="0"/>
              <w:keepLines w:val="0"/>
              <w:widowControl/>
              <w:suppressLineNumbers w:val="0"/>
              <w:spacing w:line="300" w:lineRule="exact"/>
              <w:ind w:firstLine="0" w:firstLineChars="0"/>
              <w:jc w:val="center"/>
              <w:textAlignment w:val="center"/>
              <w:rPr>
                <w:rFonts w:hint="eastAsia" w:ascii="黑体" w:hAnsi="宋体" w:eastAsia="黑体" w:cs="黑体"/>
                <w:b/>
                <w:bCs/>
                <w:i w:val="0"/>
                <w:iCs w:val="0"/>
                <w:color w:val="auto"/>
                <w:sz w:val="24"/>
                <w:szCs w:val="24"/>
                <w:u w:val="none"/>
              </w:rPr>
            </w:pPr>
            <w:r>
              <w:rPr>
                <w:rFonts w:hint="eastAsia" w:ascii="黑体" w:hAnsi="宋体" w:eastAsia="黑体" w:cs="黑体"/>
                <w:b/>
                <w:bCs/>
                <w:i w:val="0"/>
                <w:iCs w:val="0"/>
                <w:color w:val="auto"/>
                <w:kern w:val="0"/>
                <w:sz w:val="24"/>
                <w:szCs w:val="24"/>
                <w:u w:val="none"/>
                <w:lang w:val="en-US" w:eastAsia="zh-CN" w:bidi="ar"/>
              </w:rPr>
              <w:t>地方财政配套</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085538">
            <w:pPr>
              <w:keepNext w:val="0"/>
              <w:keepLines w:val="0"/>
              <w:widowControl/>
              <w:suppressLineNumbers w:val="0"/>
              <w:spacing w:line="300" w:lineRule="exact"/>
              <w:ind w:firstLine="0" w:firstLineChars="0"/>
              <w:jc w:val="center"/>
              <w:textAlignment w:val="center"/>
              <w:rPr>
                <w:rFonts w:hint="eastAsia" w:ascii="黑体" w:hAnsi="宋体" w:eastAsia="黑体" w:cs="黑体"/>
                <w:b/>
                <w:bCs/>
                <w:i w:val="0"/>
                <w:iCs w:val="0"/>
                <w:color w:val="auto"/>
                <w:sz w:val="24"/>
                <w:szCs w:val="24"/>
                <w:u w:val="none"/>
              </w:rPr>
            </w:pPr>
            <w:r>
              <w:rPr>
                <w:rFonts w:hint="eastAsia" w:ascii="黑体" w:hAnsi="宋体" w:eastAsia="黑体" w:cs="黑体"/>
                <w:b/>
                <w:bCs/>
                <w:i w:val="0"/>
                <w:iCs w:val="0"/>
                <w:color w:val="auto"/>
                <w:kern w:val="0"/>
                <w:sz w:val="24"/>
                <w:szCs w:val="24"/>
                <w:u w:val="none"/>
                <w:lang w:val="en-US" w:eastAsia="zh-CN" w:bidi="ar"/>
              </w:rPr>
              <w:t>金融、社会资本</w:t>
            </w:r>
          </w:p>
        </w:tc>
      </w:tr>
      <w:tr w14:paraId="3BB7E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B8CA67">
            <w:pPr>
              <w:spacing w:line="300" w:lineRule="exact"/>
              <w:jc w:val="center"/>
              <w:rPr>
                <w:rFonts w:hint="eastAsia" w:ascii="黑体" w:hAnsi="宋体" w:eastAsia="黑体" w:cs="黑体"/>
                <w:b/>
                <w:bCs/>
                <w:i w:val="0"/>
                <w:iCs w:val="0"/>
                <w:color w:val="auto"/>
                <w:sz w:val="24"/>
                <w:szCs w:val="24"/>
                <w:u w:val="none"/>
              </w:rPr>
            </w:pPr>
          </w:p>
        </w:tc>
        <w:tc>
          <w:tcPr>
            <w:tcW w:w="3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62CA6">
            <w:pPr>
              <w:spacing w:line="300" w:lineRule="exact"/>
              <w:jc w:val="center"/>
              <w:rPr>
                <w:rFonts w:hint="eastAsia" w:ascii="黑体" w:hAnsi="宋体" w:eastAsia="黑体" w:cs="黑体"/>
                <w:b/>
                <w:bCs/>
                <w:i w:val="0"/>
                <w:iCs w:val="0"/>
                <w:color w:val="auto"/>
                <w:sz w:val="24"/>
                <w:szCs w:val="24"/>
                <w:u w:val="none"/>
              </w:rPr>
            </w:pPr>
          </w:p>
        </w:tc>
        <w:tc>
          <w:tcPr>
            <w:tcW w:w="3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4F5165">
            <w:pPr>
              <w:spacing w:line="300" w:lineRule="exact"/>
              <w:jc w:val="center"/>
              <w:rPr>
                <w:rFonts w:hint="eastAsia" w:ascii="黑体" w:hAnsi="宋体" w:eastAsia="黑体" w:cs="黑体"/>
                <w:b/>
                <w:bCs/>
                <w:i w:val="0"/>
                <w:iCs w:val="0"/>
                <w:color w:val="auto"/>
                <w:sz w:val="24"/>
                <w:szCs w:val="24"/>
                <w:u w:val="none"/>
              </w:rPr>
            </w:pP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AD6A9">
            <w:pPr>
              <w:spacing w:line="300" w:lineRule="exact"/>
              <w:jc w:val="center"/>
              <w:rPr>
                <w:rFonts w:hint="eastAsia" w:ascii="黑体" w:hAnsi="宋体" w:eastAsia="黑体" w:cs="黑体"/>
                <w:b/>
                <w:bCs/>
                <w:i w:val="0"/>
                <w:iCs w:val="0"/>
                <w:color w:val="auto"/>
                <w:sz w:val="24"/>
                <w:szCs w:val="24"/>
                <w:u w:val="none"/>
              </w:rPr>
            </w:pPr>
          </w:p>
        </w:tc>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BFD5D">
            <w:pPr>
              <w:spacing w:line="300" w:lineRule="exact"/>
              <w:jc w:val="center"/>
              <w:rPr>
                <w:rFonts w:hint="eastAsia" w:ascii="黑体" w:hAnsi="宋体" w:eastAsia="黑体" w:cs="黑体"/>
                <w:b/>
                <w:bCs/>
                <w:i w:val="0"/>
                <w:iCs w:val="0"/>
                <w:color w:val="auto"/>
                <w:sz w:val="24"/>
                <w:szCs w:val="24"/>
                <w:u w:val="none"/>
              </w:rPr>
            </w:pPr>
          </w:p>
        </w:tc>
        <w:tc>
          <w:tcPr>
            <w:tcW w:w="17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0319A">
            <w:pPr>
              <w:spacing w:line="300" w:lineRule="exact"/>
              <w:jc w:val="center"/>
              <w:rPr>
                <w:rFonts w:hint="eastAsia" w:ascii="黑体" w:hAnsi="宋体" w:eastAsia="黑体" w:cs="黑体"/>
                <w:b/>
                <w:bCs/>
                <w:i w:val="0"/>
                <w:iCs w:val="0"/>
                <w:color w:val="auto"/>
                <w:sz w:val="24"/>
                <w:szCs w:val="24"/>
                <w:u w:val="none"/>
              </w:rPr>
            </w:pPr>
          </w:p>
        </w:tc>
        <w:tc>
          <w:tcPr>
            <w:tcW w:w="3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39577C">
            <w:pPr>
              <w:spacing w:line="300" w:lineRule="exact"/>
              <w:jc w:val="center"/>
              <w:rPr>
                <w:rFonts w:hint="eastAsia" w:ascii="黑体" w:hAnsi="宋体" w:eastAsia="黑体" w:cs="黑体"/>
                <w:b/>
                <w:bCs/>
                <w:i w:val="0"/>
                <w:iCs w:val="0"/>
                <w:color w:val="auto"/>
                <w:sz w:val="24"/>
                <w:szCs w:val="24"/>
                <w:u w:val="none"/>
              </w:rPr>
            </w:pPr>
          </w:p>
        </w:tc>
        <w:tc>
          <w:tcPr>
            <w:tcW w:w="3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3245B">
            <w:pPr>
              <w:spacing w:line="300" w:lineRule="exact"/>
              <w:jc w:val="center"/>
              <w:rPr>
                <w:rFonts w:hint="eastAsia" w:ascii="黑体" w:hAnsi="宋体" w:eastAsia="黑体" w:cs="黑体"/>
                <w:b/>
                <w:bCs/>
                <w:i w:val="0"/>
                <w:iCs w:val="0"/>
                <w:color w:val="auto"/>
                <w:sz w:val="24"/>
                <w:szCs w:val="24"/>
                <w:u w:val="none"/>
              </w:rPr>
            </w:pPr>
          </w:p>
        </w:tc>
        <w:tc>
          <w:tcPr>
            <w:tcW w:w="3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942A9C">
            <w:pPr>
              <w:spacing w:line="300" w:lineRule="exact"/>
              <w:jc w:val="center"/>
              <w:rPr>
                <w:rFonts w:hint="eastAsia" w:ascii="黑体" w:hAnsi="宋体" w:eastAsia="黑体" w:cs="黑体"/>
                <w:b/>
                <w:bCs/>
                <w:i w:val="0"/>
                <w:iCs w:val="0"/>
                <w:color w:val="auto"/>
                <w:sz w:val="24"/>
                <w:szCs w:val="24"/>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511A6">
            <w:pPr>
              <w:spacing w:line="300" w:lineRule="exact"/>
              <w:jc w:val="center"/>
              <w:rPr>
                <w:rFonts w:hint="eastAsia" w:ascii="黑体" w:hAnsi="宋体" w:eastAsia="黑体" w:cs="黑体"/>
                <w:b/>
                <w:bCs/>
                <w:i w:val="0"/>
                <w:iCs w:val="0"/>
                <w:color w:val="auto"/>
                <w:sz w:val="24"/>
                <w:szCs w:val="24"/>
                <w:u w:val="none"/>
              </w:rPr>
            </w:pPr>
          </w:p>
        </w:tc>
      </w:tr>
      <w:tr w14:paraId="25F80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57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6C3846D">
            <w:pPr>
              <w:keepNext w:val="0"/>
              <w:keepLines w:val="0"/>
              <w:widowControl/>
              <w:suppressLineNumbers w:val="0"/>
              <w:spacing w:line="300" w:lineRule="exact"/>
              <w:ind w:firstLine="0" w:firstLineChars="0"/>
              <w:jc w:val="both"/>
              <w:textAlignment w:val="center"/>
              <w:rPr>
                <w:rFonts w:hint="eastAsia" w:ascii="黑体" w:hAnsi="宋体" w:eastAsia="黑体" w:cs="黑体"/>
                <w:b/>
                <w:bCs/>
                <w:i w:val="0"/>
                <w:iCs w:val="0"/>
                <w:color w:val="auto"/>
                <w:sz w:val="24"/>
                <w:szCs w:val="24"/>
                <w:u w:val="none"/>
              </w:rPr>
            </w:pPr>
            <w:r>
              <w:rPr>
                <w:rFonts w:hint="eastAsia" w:ascii="黑体" w:hAnsi="宋体" w:eastAsia="黑体" w:cs="黑体"/>
                <w:b/>
                <w:bCs/>
                <w:i w:val="0"/>
                <w:iCs w:val="0"/>
                <w:color w:val="auto"/>
                <w:kern w:val="0"/>
                <w:sz w:val="24"/>
                <w:szCs w:val="24"/>
                <w:u w:val="none"/>
                <w:lang w:val="en-US" w:eastAsia="zh-CN" w:bidi="ar"/>
              </w:rPr>
              <w:t>一、标准化狮头鹅养殖基地建设工程</w:t>
            </w:r>
          </w:p>
        </w:tc>
        <w:tc>
          <w:tcPr>
            <w:tcW w:w="1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9F5E2">
            <w:pPr>
              <w:keepNext w:val="0"/>
              <w:keepLines w:val="0"/>
              <w:widowControl/>
              <w:suppressLineNumbers w:val="0"/>
              <w:spacing w:line="300" w:lineRule="exact"/>
              <w:ind w:firstLine="0" w:firstLineChars="0"/>
              <w:jc w:val="center"/>
              <w:textAlignment w:val="center"/>
              <w:rPr>
                <w:rFonts w:hint="eastAsia" w:ascii="黑体" w:hAnsi="宋体" w:eastAsia="黑体" w:cs="黑体"/>
                <w:b/>
                <w:bCs/>
                <w:i w:val="0"/>
                <w:iCs w:val="0"/>
                <w:color w:val="auto"/>
                <w:sz w:val="24"/>
                <w:szCs w:val="24"/>
                <w:u w:val="none"/>
              </w:rPr>
            </w:pPr>
            <w:r>
              <w:rPr>
                <w:rFonts w:hint="eastAsia" w:ascii="黑体" w:hAnsi="宋体" w:eastAsia="黑体" w:cs="黑体"/>
                <w:b/>
                <w:bCs/>
                <w:i w:val="0"/>
                <w:iCs w:val="0"/>
                <w:color w:val="auto"/>
                <w:kern w:val="0"/>
                <w:sz w:val="24"/>
                <w:szCs w:val="24"/>
                <w:u w:val="none"/>
                <w:lang w:val="en-US" w:eastAsia="zh-CN" w:bidi="ar"/>
              </w:rPr>
              <w:t>合计</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62C3A">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 xml:space="preserve">21059 </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F191B">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 xml:space="preserve">2000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A93C9">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 xml:space="preserve">0 </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2A40E">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 xml:space="preserve">19059 </w:t>
            </w:r>
          </w:p>
        </w:tc>
      </w:tr>
      <w:tr w14:paraId="2A3BA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30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701866E">
            <w:pPr>
              <w:keepNext w:val="0"/>
              <w:keepLines w:val="0"/>
              <w:widowControl/>
              <w:suppressLineNumbers w:val="0"/>
              <w:spacing w:line="300" w:lineRule="exact"/>
              <w:ind w:firstLine="0" w:firstLineChars="0"/>
              <w:jc w:val="left"/>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1.</w:t>
            </w:r>
            <w:r>
              <w:rPr>
                <w:rFonts w:ascii="楷体_GB2312" w:hAnsi="Times New Roman" w:eastAsia="楷体_GB2312" w:cs="楷体_GB2312"/>
                <w:b/>
                <w:bCs/>
                <w:i w:val="0"/>
                <w:iCs w:val="0"/>
                <w:color w:val="auto"/>
                <w:kern w:val="0"/>
                <w:sz w:val="24"/>
                <w:szCs w:val="24"/>
                <w:u w:val="none"/>
                <w:lang w:val="en-US" w:eastAsia="zh-CN" w:bidi="ar"/>
              </w:rPr>
              <w:t>种鹅标准化育种基地建设</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86F80">
            <w:pPr>
              <w:spacing w:line="300" w:lineRule="exact"/>
              <w:jc w:val="center"/>
              <w:rPr>
                <w:rFonts w:hint="eastAsia" w:ascii="楷体_GB2312" w:hAnsi="宋体" w:eastAsia="楷体_GB2312" w:cs="楷体_GB2312"/>
                <w:b/>
                <w:bCs/>
                <w:i w:val="0"/>
                <w:iCs w:val="0"/>
                <w:color w:val="auto"/>
                <w:sz w:val="24"/>
                <w:szCs w:val="24"/>
                <w:u w:val="none"/>
              </w:rPr>
            </w:pPr>
          </w:p>
        </w:tc>
        <w:tc>
          <w:tcPr>
            <w:tcW w:w="1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C5F9C">
            <w:pPr>
              <w:keepNext w:val="0"/>
              <w:keepLines w:val="0"/>
              <w:widowControl/>
              <w:suppressLineNumbers w:val="0"/>
              <w:spacing w:line="300" w:lineRule="exact"/>
              <w:ind w:firstLine="0" w:firstLineChars="0"/>
              <w:jc w:val="center"/>
              <w:textAlignment w:val="center"/>
              <w:rPr>
                <w:rFonts w:hint="eastAsia" w:ascii="楷体_GB2312" w:hAnsi="宋体" w:eastAsia="楷体_GB2312" w:cs="楷体_GB2312"/>
                <w:b/>
                <w:bCs/>
                <w:i w:val="0"/>
                <w:iCs w:val="0"/>
                <w:color w:val="auto"/>
                <w:sz w:val="24"/>
                <w:szCs w:val="24"/>
                <w:u w:val="none"/>
              </w:rPr>
            </w:pPr>
            <w:r>
              <w:rPr>
                <w:rFonts w:hint="eastAsia" w:ascii="楷体_GB2312" w:hAnsi="宋体" w:eastAsia="楷体_GB2312" w:cs="楷体_GB2312"/>
                <w:b/>
                <w:bCs/>
                <w:i w:val="0"/>
                <w:iCs w:val="0"/>
                <w:color w:val="auto"/>
                <w:kern w:val="0"/>
                <w:sz w:val="24"/>
                <w:szCs w:val="24"/>
                <w:u w:val="none"/>
                <w:lang w:val="en-US" w:eastAsia="zh-CN" w:bidi="ar"/>
              </w:rPr>
              <w:t>小计</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F9C20">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 xml:space="preserve">11032 </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DAD57">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 xml:space="preserve">1000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21DDA">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 xml:space="preserve">0 </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41254">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 xml:space="preserve">10032 </w:t>
            </w:r>
          </w:p>
        </w:tc>
      </w:tr>
      <w:tr w14:paraId="38EA3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5" w:hRule="atLeast"/>
        </w:trPr>
        <w:tc>
          <w:tcPr>
            <w:tcW w:w="1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7A31AB">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w:t>
            </w:r>
          </w:p>
        </w:tc>
        <w:tc>
          <w:tcPr>
            <w:tcW w:w="3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44C5E2">
            <w:pPr>
              <w:keepNext w:val="0"/>
              <w:keepLines w:val="0"/>
              <w:widowControl/>
              <w:suppressLineNumbers w:val="0"/>
              <w:spacing w:line="300" w:lineRule="exact"/>
              <w:ind w:firstLine="0" w:firstLineChars="0"/>
              <w:jc w:val="center"/>
              <w:textAlignment w:val="center"/>
              <w:rPr>
                <w:rFonts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种鹅标准化育种基地建设</w:t>
            </w:r>
          </w:p>
        </w:tc>
        <w:tc>
          <w:tcPr>
            <w:tcW w:w="3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C87117">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2024-2026</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C87F7">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汕头市澄海区潮鹏生态养殖有限公司</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58DE6">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隆都镇</w:t>
            </w:r>
          </w:p>
        </w:tc>
        <w:tc>
          <w:tcPr>
            <w:tcW w:w="1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7F8FD">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财政资金用于：</w:t>
            </w:r>
            <w:r>
              <w:rPr>
                <w:rFonts w:hint="eastAsia" w:ascii="仿宋_GB2312" w:hAnsi="宋体" w:eastAsia="仿宋_GB2312" w:cs="仿宋_GB2312"/>
                <w:b/>
                <w:bCs/>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1.改造升级鹅舍2个，共1200平方米，配套基础设施一套；</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2.购置洗谷拌料机3台；</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b/>
                <w:bCs/>
                <w:i w:val="0"/>
                <w:iCs w:val="0"/>
                <w:color w:val="auto"/>
                <w:kern w:val="0"/>
                <w:sz w:val="24"/>
                <w:szCs w:val="24"/>
                <w:u w:val="none"/>
                <w:lang w:val="en-US" w:eastAsia="zh-CN" w:bidi="ar"/>
              </w:rPr>
              <w:t>社会资本用于：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1.新增种鹅一批，配套相关饲料、鹅药等原材料；</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2.场地租金；相关人员开支及水电开支，业务费等。</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86857">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1200 </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627A1">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100</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CD5A3">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0</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DE996">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1100</w:t>
            </w:r>
          </w:p>
        </w:tc>
      </w:tr>
      <w:tr w14:paraId="21E5C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7"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CB746">
            <w:pPr>
              <w:spacing w:line="300" w:lineRule="exact"/>
              <w:jc w:val="center"/>
              <w:rPr>
                <w:rFonts w:hint="default" w:ascii="Times New Roman" w:hAnsi="Times New Roman" w:eastAsia="宋体" w:cs="Times New Roman"/>
                <w:i w:val="0"/>
                <w:iCs w:val="0"/>
                <w:color w:val="auto"/>
                <w:sz w:val="24"/>
                <w:szCs w:val="24"/>
                <w:u w:val="none"/>
              </w:rPr>
            </w:pPr>
          </w:p>
        </w:tc>
        <w:tc>
          <w:tcPr>
            <w:tcW w:w="3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2ECB4">
            <w:pPr>
              <w:spacing w:line="300" w:lineRule="exact"/>
              <w:jc w:val="center"/>
              <w:rPr>
                <w:rFonts w:hint="eastAsia" w:ascii="仿宋_GB2312" w:hAnsi="宋体" w:eastAsia="仿宋_GB2312" w:cs="仿宋_GB2312"/>
                <w:i w:val="0"/>
                <w:iCs w:val="0"/>
                <w:color w:val="auto"/>
                <w:sz w:val="24"/>
                <w:szCs w:val="24"/>
                <w:u w:val="none"/>
              </w:rPr>
            </w:pPr>
          </w:p>
        </w:tc>
        <w:tc>
          <w:tcPr>
            <w:tcW w:w="3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83020">
            <w:pPr>
              <w:spacing w:line="300" w:lineRule="exact"/>
              <w:jc w:val="center"/>
              <w:rPr>
                <w:rFonts w:hint="default" w:ascii="Times New Roman" w:hAnsi="Times New Roman" w:eastAsia="宋体" w:cs="Times New Roman"/>
                <w:i w:val="0"/>
                <w:iCs w:val="0"/>
                <w:color w:val="auto"/>
                <w:sz w:val="24"/>
                <w:szCs w:val="24"/>
                <w:u w:val="none"/>
              </w:rPr>
            </w:pP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449C1">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汕头市澄海区鸿图狮头鹅养殖有限公司</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CE499">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溪南镇</w:t>
            </w:r>
          </w:p>
        </w:tc>
        <w:tc>
          <w:tcPr>
            <w:tcW w:w="1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2CC72">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财政资金用于：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1.新建钢结构孵化房及配套约600平方米，转运筐500个、鹅苗运输车1辆；新增50万用于购置孵化器、新建鹅舍1个及配套运动池等。</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2.新建鹅舍600平方米，鹅活动场约3000平方米，活动水池1100平方米，购置孵化机11台，出雏机2台。</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b/>
                <w:bCs/>
                <w:i w:val="0"/>
                <w:iCs w:val="0"/>
                <w:color w:val="auto"/>
                <w:kern w:val="0"/>
                <w:sz w:val="24"/>
                <w:szCs w:val="24"/>
                <w:u w:val="none"/>
                <w:lang w:val="en-US" w:eastAsia="zh-CN" w:bidi="ar"/>
              </w:rPr>
              <w:t>社会资本用于：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1.种鹅饲料采购；</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2.防疫、保健投入品采购一批，用于基地种鹅一年使用量；</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3.孵化房、鹅舍土地租金2年。</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19EFD">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1267 </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5B956">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117</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BE9FE">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0</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A1A9D">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1150</w:t>
            </w:r>
          </w:p>
        </w:tc>
      </w:tr>
      <w:tr w14:paraId="5ABD3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CECF4">
            <w:pPr>
              <w:spacing w:line="300" w:lineRule="exact"/>
              <w:jc w:val="center"/>
              <w:rPr>
                <w:rFonts w:hint="default" w:ascii="Times New Roman" w:hAnsi="Times New Roman" w:eastAsia="宋体" w:cs="Times New Roman"/>
                <w:i w:val="0"/>
                <w:iCs w:val="0"/>
                <w:color w:val="auto"/>
                <w:sz w:val="24"/>
                <w:szCs w:val="24"/>
                <w:u w:val="none"/>
              </w:rPr>
            </w:pPr>
          </w:p>
        </w:tc>
        <w:tc>
          <w:tcPr>
            <w:tcW w:w="3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3EDBF7">
            <w:pPr>
              <w:spacing w:line="300" w:lineRule="exact"/>
              <w:jc w:val="center"/>
              <w:rPr>
                <w:rFonts w:hint="eastAsia" w:ascii="仿宋_GB2312" w:hAnsi="宋体" w:eastAsia="仿宋_GB2312" w:cs="仿宋_GB2312"/>
                <w:i w:val="0"/>
                <w:iCs w:val="0"/>
                <w:color w:val="auto"/>
                <w:sz w:val="24"/>
                <w:szCs w:val="24"/>
                <w:u w:val="none"/>
              </w:rPr>
            </w:pPr>
          </w:p>
        </w:tc>
        <w:tc>
          <w:tcPr>
            <w:tcW w:w="3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CA1AA">
            <w:pPr>
              <w:spacing w:line="300" w:lineRule="exact"/>
              <w:jc w:val="center"/>
              <w:rPr>
                <w:rFonts w:hint="default" w:ascii="Times New Roman" w:hAnsi="Times New Roman" w:eastAsia="宋体" w:cs="Times New Roman"/>
                <w:i w:val="0"/>
                <w:iCs w:val="0"/>
                <w:color w:val="auto"/>
                <w:sz w:val="24"/>
                <w:szCs w:val="24"/>
                <w:u w:val="none"/>
              </w:rPr>
            </w:pP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970FA">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汕头市莲鸿禽业有限公司</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9B5B1">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莲华镇</w:t>
            </w:r>
          </w:p>
        </w:tc>
        <w:tc>
          <w:tcPr>
            <w:tcW w:w="1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3B43B">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财政资金用于：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1.鹅舍建设面积1800平方米。</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b/>
                <w:bCs/>
                <w:i w:val="0"/>
                <w:iCs w:val="0"/>
                <w:color w:val="auto"/>
                <w:kern w:val="0"/>
                <w:sz w:val="24"/>
                <w:szCs w:val="24"/>
                <w:u w:val="none"/>
                <w:lang w:val="en-US" w:eastAsia="zh-CN" w:bidi="ar"/>
              </w:rPr>
              <w:t>社会资本用于：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购买稻谷，饲料，鹅苗，土地流转，鹅保险，工资和水电费等费用。</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3E3FD">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2400 </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D0D74">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198</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8429D">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0</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5FFF6">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2202</w:t>
            </w:r>
          </w:p>
        </w:tc>
      </w:tr>
      <w:tr w14:paraId="7829A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7"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1F4BC">
            <w:pPr>
              <w:spacing w:line="300" w:lineRule="exact"/>
              <w:jc w:val="center"/>
              <w:rPr>
                <w:rFonts w:hint="default" w:ascii="Times New Roman" w:hAnsi="Times New Roman" w:eastAsia="宋体" w:cs="Times New Roman"/>
                <w:i w:val="0"/>
                <w:iCs w:val="0"/>
                <w:color w:val="auto"/>
                <w:sz w:val="24"/>
                <w:szCs w:val="24"/>
                <w:u w:val="none"/>
              </w:rPr>
            </w:pPr>
          </w:p>
        </w:tc>
        <w:tc>
          <w:tcPr>
            <w:tcW w:w="3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904B5D">
            <w:pPr>
              <w:spacing w:line="300" w:lineRule="exact"/>
              <w:jc w:val="center"/>
              <w:rPr>
                <w:rFonts w:hint="eastAsia" w:ascii="仿宋_GB2312" w:hAnsi="宋体" w:eastAsia="仿宋_GB2312" w:cs="仿宋_GB2312"/>
                <w:i w:val="0"/>
                <w:iCs w:val="0"/>
                <w:color w:val="auto"/>
                <w:sz w:val="24"/>
                <w:szCs w:val="24"/>
                <w:u w:val="none"/>
              </w:rPr>
            </w:pPr>
          </w:p>
        </w:tc>
        <w:tc>
          <w:tcPr>
            <w:tcW w:w="3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2593E">
            <w:pPr>
              <w:spacing w:line="300" w:lineRule="exact"/>
              <w:jc w:val="center"/>
              <w:rPr>
                <w:rFonts w:hint="default" w:ascii="Times New Roman" w:hAnsi="Times New Roman" w:eastAsia="宋体" w:cs="Times New Roman"/>
                <w:i w:val="0"/>
                <w:iCs w:val="0"/>
                <w:color w:val="auto"/>
                <w:sz w:val="24"/>
                <w:szCs w:val="24"/>
                <w:u w:val="none"/>
              </w:rPr>
            </w:pP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B8E7D">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汕头市正治禽业有限公司</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A789C">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盐鸿镇</w:t>
            </w:r>
          </w:p>
        </w:tc>
        <w:tc>
          <w:tcPr>
            <w:tcW w:w="1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4767F">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财政资金用于：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1.鹅舍建设面积1400平方米和智能饲喂系统。</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2.建设鹅舍700平方米，无害化处理设施100平方米及配套设备1套。</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b/>
                <w:bCs/>
                <w:i w:val="0"/>
                <w:iCs w:val="0"/>
                <w:color w:val="auto"/>
                <w:kern w:val="0"/>
                <w:sz w:val="24"/>
                <w:szCs w:val="24"/>
                <w:u w:val="none"/>
                <w:lang w:val="en-US" w:eastAsia="zh-CN" w:bidi="ar"/>
              </w:rPr>
              <w:t>社会资本用于：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购买稻谷，饲料，鹅苗，工资和水电费，土地租金，鹅保险等费用。</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CDEE3">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3065 </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1A3B5">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285</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D5487">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0</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6B040">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2780</w:t>
            </w:r>
          </w:p>
        </w:tc>
      </w:tr>
      <w:tr w14:paraId="49096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8FF2D7">
            <w:pPr>
              <w:spacing w:line="300" w:lineRule="exact"/>
              <w:jc w:val="center"/>
              <w:rPr>
                <w:rFonts w:hint="default" w:ascii="Times New Roman" w:hAnsi="Times New Roman" w:eastAsia="宋体" w:cs="Times New Roman"/>
                <w:i w:val="0"/>
                <w:iCs w:val="0"/>
                <w:color w:val="auto"/>
                <w:sz w:val="24"/>
                <w:szCs w:val="24"/>
                <w:u w:val="none"/>
              </w:rPr>
            </w:pPr>
          </w:p>
        </w:tc>
        <w:tc>
          <w:tcPr>
            <w:tcW w:w="3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D768D3">
            <w:pPr>
              <w:spacing w:line="300" w:lineRule="exact"/>
              <w:jc w:val="center"/>
              <w:rPr>
                <w:rFonts w:hint="eastAsia" w:ascii="仿宋_GB2312" w:hAnsi="宋体" w:eastAsia="仿宋_GB2312" w:cs="仿宋_GB2312"/>
                <w:i w:val="0"/>
                <w:iCs w:val="0"/>
                <w:color w:val="auto"/>
                <w:sz w:val="24"/>
                <w:szCs w:val="24"/>
                <w:u w:val="none"/>
              </w:rPr>
            </w:pPr>
          </w:p>
        </w:tc>
        <w:tc>
          <w:tcPr>
            <w:tcW w:w="3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61259">
            <w:pPr>
              <w:spacing w:line="300" w:lineRule="exact"/>
              <w:jc w:val="center"/>
              <w:rPr>
                <w:rFonts w:hint="default" w:ascii="Times New Roman" w:hAnsi="Times New Roman" w:eastAsia="宋体" w:cs="Times New Roman"/>
                <w:i w:val="0"/>
                <w:iCs w:val="0"/>
                <w:color w:val="auto"/>
                <w:sz w:val="24"/>
                <w:szCs w:val="24"/>
                <w:u w:val="none"/>
              </w:rPr>
            </w:pP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8F1EC">
            <w:pPr>
              <w:keepNext w:val="0"/>
              <w:keepLines w:val="0"/>
              <w:widowControl/>
              <w:suppressLineNumbers w:val="0"/>
              <w:spacing w:line="300" w:lineRule="exact"/>
              <w:ind w:firstLine="0" w:firstLineChars="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汕头市进士洲农业发展有限公司</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66964">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东里镇</w:t>
            </w:r>
          </w:p>
        </w:tc>
        <w:tc>
          <w:tcPr>
            <w:tcW w:w="1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07153">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财政资金用于：</w:t>
            </w:r>
            <w:r>
              <w:rPr>
                <w:rFonts w:hint="eastAsia" w:ascii="仿宋_GB2312" w:hAnsi="宋体" w:eastAsia="仿宋_GB2312" w:cs="仿宋_GB2312"/>
                <w:b/>
                <w:bCs/>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1.建设鹅舍4个总面积3100平方米、鹅活动场3100平方米。</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2.活动水池1700平方米及水帘、卷帘、清粪等配套设施。</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b/>
                <w:bCs/>
                <w:i w:val="0"/>
                <w:iCs w:val="0"/>
                <w:color w:val="auto"/>
                <w:kern w:val="0"/>
                <w:sz w:val="24"/>
                <w:szCs w:val="24"/>
                <w:u w:val="none"/>
                <w:lang w:val="en-US" w:eastAsia="zh-CN" w:bidi="ar"/>
              </w:rPr>
              <w:t>社会资本用于：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1.建设种鹅鹅舍10500平方米；</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2.配套种鹅养殖区及鹅舍安装水电设施；</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3.配套养殖基地内道路基础；</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4.园区人员工资；</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5.供水、供电费用；</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6.饲料、兽药费用；</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7.种鹅费用；</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8.新增种鹅5万只。</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B79AE">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3100 </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62607">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300</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524B7">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0</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BED7B">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2800</w:t>
            </w:r>
          </w:p>
        </w:tc>
      </w:tr>
      <w:tr w14:paraId="41331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30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4017576">
            <w:pPr>
              <w:keepNext w:val="0"/>
              <w:keepLines w:val="0"/>
              <w:widowControl/>
              <w:suppressLineNumbers w:val="0"/>
              <w:spacing w:line="300" w:lineRule="exact"/>
              <w:ind w:firstLine="0" w:firstLineChars="0"/>
              <w:jc w:val="left"/>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2.</w:t>
            </w:r>
            <w:r>
              <w:rPr>
                <w:rFonts w:ascii="楷体_GB2312" w:hAnsi="Times New Roman" w:eastAsia="楷体_GB2312" w:cs="楷体_GB2312"/>
                <w:b/>
                <w:bCs/>
                <w:i w:val="0"/>
                <w:iCs w:val="0"/>
                <w:color w:val="auto"/>
                <w:kern w:val="0"/>
                <w:sz w:val="24"/>
                <w:szCs w:val="24"/>
                <w:u w:val="none"/>
                <w:lang w:val="en-US" w:eastAsia="zh-CN" w:bidi="ar"/>
              </w:rPr>
              <w:t>肉鹅标准化养殖基地建设</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A87C0">
            <w:pPr>
              <w:spacing w:line="300" w:lineRule="exact"/>
              <w:rPr>
                <w:rFonts w:hint="eastAsia" w:ascii="宋体" w:hAnsi="宋体" w:eastAsia="宋体" w:cs="宋体"/>
                <w:i w:val="0"/>
                <w:iCs w:val="0"/>
                <w:color w:val="auto"/>
                <w:sz w:val="32"/>
                <w:szCs w:val="32"/>
                <w:u w:val="none"/>
              </w:rPr>
            </w:pPr>
          </w:p>
        </w:tc>
        <w:tc>
          <w:tcPr>
            <w:tcW w:w="1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8B0DE">
            <w:pPr>
              <w:spacing w:line="300" w:lineRule="exact"/>
              <w:rPr>
                <w:rFonts w:hint="eastAsia" w:ascii="宋体" w:hAnsi="宋体" w:eastAsia="宋体" w:cs="宋体"/>
                <w:i w:val="0"/>
                <w:iCs w:val="0"/>
                <w:color w:val="auto"/>
                <w:sz w:val="32"/>
                <w:szCs w:val="32"/>
                <w:u w:val="none"/>
              </w:rPr>
            </w:pP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D70C6">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 xml:space="preserve">10027 </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14B10">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 xml:space="preserve">1000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25165">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 xml:space="preserve">0 </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81021">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 xml:space="preserve">9027 </w:t>
            </w:r>
          </w:p>
        </w:tc>
      </w:tr>
      <w:tr w14:paraId="00AC9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0" w:hRule="atLeast"/>
        </w:trPr>
        <w:tc>
          <w:tcPr>
            <w:tcW w:w="1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A5C2A1">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w:t>
            </w:r>
          </w:p>
        </w:tc>
        <w:tc>
          <w:tcPr>
            <w:tcW w:w="3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C92819">
            <w:pPr>
              <w:keepNext w:val="0"/>
              <w:keepLines w:val="0"/>
              <w:widowControl/>
              <w:suppressLineNumbers w:val="0"/>
              <w:spacing w:line="300" w:lineRule="exact"/>
              <w:ind w:firstLine="0" w:firstLineChars="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肉鹅标准化养殖基地建设</w:t>
            </w:r>
          </w:p>
        </w:tc>
        <w:tc>
          <w:tcPr>
            <w:tcW w:w="3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4E8DDB">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2024-2026</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B82A6">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广东佳信绿康农业科技有限公司</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CB93A">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莲下镇</w:t>
            </w:r>
          </w:p>
        </w:tc>
        <w:tc>
          <w:tcPr>
            <w:tcW w:w="1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9523A">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财政资金用于：</w:t>
            </w:r>
            <w:r>
              <w:rPr>
                <w:rFonts w:hint="eastAsia" w:ascii="仿宋_GB2312" w:hAnsi="宋体" w:eastAsia="仿宋_GB2312" w:cs="仿宋_GB2312"/>
                <w:b/>
                <w:bCs/>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1.建设鹅舍3个约1800平方米，及鹅活动场约1700平方米，活动水池约520平方米等配套设施。</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2.建设钢结构仓储设施约850平方米及配套。</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b/>
                <w:bCs/>
                <w:i w:val="0"/>
                <w:iCs w:val="0"/>
                <w:color w:val="auto"/>
                <w:kern w:val="0"/>
                <w:sz w:val="24"/>
                <w:szCs w:val="24"/>
                <w:u w:val="none"/>
                <w:lang w:val="en-US" w:eastAsia="zh-CN" w:bidi="ar"/>
              </w:rPr>
              <w:t>社会资本用于：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购买饲料原料，饲料，鹅苗，工资和水电费等费用。</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6B10D">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1443 </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DB708">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163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92F4D">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0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1450C">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1280 </w:t>
            </w:r>
          </w:p>
        </w:tc>
      </w:tr>
      <w:tr w14:paraId="51F28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80376">
            <w:pPr>
              <w:spacing w:line="300" w:lineRule="exact"/>
              <w:jc w:val="center"/>
              <w:rPr>
                <w:rFonts w:hint="default" w:ascii="Times New Roman" w:hAnsi="Times New Roman" w:eastAsia="宋体" w:cs="Times New Roman"/>
                <w:i w:val="0"/>
                <w:iCs w:val="0"/>
                <w:color w:val="auto"/>
                <w:sz w:val="24"/>
                <w:szCs w:val="24"/>
                <w:u w:val="none"/>
              </w:rPr>
            </w:pPr>
          </w:p>
        </w:tc>
        <w:tc>
          <w:tcPr>
            <w:tcW w:w="3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BC3ECF">
            <w:pPr>
              <w:spacing w:line="300" w:lineRule="exact"/>
              <w:jc w:val="center"/>
              <w:rPr>
                <w:rFonts w:hint="eastAsia" w:ascii="仿宋_GB2312" w:hAnsi="宋体" w:eastAsia="仿宋_GB2312" w:cs="仿宋_GB2312"/>
                <w:i w:val="0"/>
                <w:iCs w:val="0"/>
                <w:color w:val="auto"/>
                <w:sz w:val="24"/>
                <w:szCs w:val="24"/>
                <w:u w:val="none"/>
              </w:rPr>
            </w:pPr>
          </w:p>
        </w:tc>
        <w:tc>
          <w:tcPr>
            <w:tcW w:w="3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E90DAE">
            <w:pPr>
              <w:spacing w:line="300" w:lineRule="exact"/>
              <w:jc w:val="center"/>
              <w:rPr>
                <w:rFonts w:hint="default" w:ascii="Times New Roman" w:hAnsi="Times New Roman" w:eastAsia="宋体" w:cs="Times New Roman"/>
                <w:i w:val="0"/>
                <w:iCs w:val="0"/>
                <w:color w:val="auto"/>
                <w:sz w:val="24"/>
                <w:szCs w:val="24"/>
                <w:u w:val="none"/>
              </w:rPr>
            </w:pP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1FC1C">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汕头市莲鸿禽业有限公司</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62A98">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莲华镇</w:t>
            </w:r>
          </w:p>
        </w:tc>
        <w:tc>
          <w:tcPr>
            <w:tcW w:w="1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B7017">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财政资金用于：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1.鹅舍建设1200平方米和小水池建设。</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2.新建育雏室一座约200平方，育雏栏设备及配套设施（双层层架）；活动场及配套（含活动场铺砖）1800平方米。</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b/>
                <w:bCs/>
                <w:i w:val="0"/>
                <w:iCs w:val="0"/>
                <w:color w:val="auto"/>
                <w:kern w:val="0"/>
                <w:sz w:val="24"/>
                <w:szCs w:val="24"/>
                <w:u w:val="none"/>
                <w:lang w:val="en-US" w:eastAsia="zh-CN" w:bidi="ar"/>
              </w:rPr>
              <w:t>社会资本用于：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1.建设鹅舍3000平方米，土地租赁，鹅保险；</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2.购买稻谷，饲料，鹅苗，工资和水电费等费用。</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A4F46">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2357 </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D6708">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237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BBF34">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0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9DBFE">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2120 </w:t>
            </w:r>
          </w:p>
        </w:tc>
      </w:tr>
      <w:tr w14:paraId="28CF1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3"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942C7">
            <w:pPr>
              <w:spacing w:line="300" w:lineRule="exact"/>
              <w:jc w:val="center"/>
              <w:rPr>
                <w:rFonts w:hint="default" w:ascii="Times New Roman" w:hAnsi="Times New Roman" w:eastAsia="宋体" w:cs="Times New Roman"/>
                <w:i w:val="0"/>
                <w:iCs w:val="0"/>
                <w:color w:val="auto"/>
                <w:sz w:val="24"/>
                <w:szCs w:val="24"/>
                <w:u w:val="none"/>
              </w:rPr>
            </w:pPr>
          </w:p>
        </w:tc>
        <w:tc>
          <w:tcPr>
            <w:tcW w:w="3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8F4D5">
            <w:pPr>
              <w:spacing w:line="300" w:lineRule="exact"/>
              <w:jc w:val="center"/>
              <w:rPr>
                <w:rFonts w:hint="eastAsia" w:ascii="仿宋_GB2312" w:hAnsi="宋体" w:eastAsia="仿宋_GB2312" w:cs="仿宋_GB2312"/>
                <w:i w:val="0"/>
                <w:iCs w:val="0"/>
                <w:color w:val="auto"/>
                <w:sz w:val="24"/>
                <w:szCs w:val="24"/>
                <w:u w:val="none"/>
              </w:rPr>
            </w:pPr>
          </w:p>
        </w:tc>
        <w:tc>
          <w:tcPr>
            <w:tcW w:w="3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35BA0">
            <w:pPr>
              <w:spacing w:line="300" w:lineRule="exact"/>
              <w:jc w:val="center"/>
              <w:rPr>
                <w:rFonts w:hint="default" w:ascii="Times New Roman" w:hAnsi="Times New Roman" w:eastAsia="宋体" w:cs="Times New Roman"/>
                <w:i w:val="0"/>
                <w:iCs w:val="0"/>
                <w:color w:val="auto"/>
                <w:sz w:val="24"/>
                <w:szCs w:val="24"/>
                <w:u w:val="none"/>
              </w:rPr>
            </w:pP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8070B">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汕头市鸿裕农业科技有限公司</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E08B2">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东里镇</w:t>
            </w:r>
          </w:p>
        </w:tc>
        <w:tc>
          <w:tcPr>
            <w:tcW w:w="1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79287">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财政资金用于：</w:t>
            </w:r>
            <w:r>
              <w:rPr>
                <w:rFonts w:hint="eastAsia" w:ascii="仿宋_GB2312" w:hAnsi="宋体" w:eastAsia="仿宋_GB2312" w:cs="仿宋_GB2312"/>
                <w:b/>
                <w:bCs/>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1.建设新型层架鹅舍，搭建网架约5000平方米；</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2.育雏室约1000平方米；</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b/>
                <w:bCs/>
                <w:i w:val="0"/>
                <w:iCs w:val="0"/>
                <w:color w:val="auto"/>
                <w:kern w:val="0"/>
                <w:sz w:val="24"/>
                <w:szCs w:val="24"/>
                <w:u w:val="none"/>
                <w:lang w:val="en-US" w:eastAsia="zh-CN" w:bidi="ar"/>
              </w:rPr>
              <w:t>社会资本用于: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1.建设新型层架鹅舍，搭建网架约10000平方米，配备网约15000平方米；</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2.建设饲料间约1000平方米，鹅舍运动场约2800平方米，和相对应运动下水坡；</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3.建设药房，电机房，化验室，检验室等；</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4.建设鹅舍进水系统，水区围网；</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5.饲料混合机，保温设备，运输车；</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6.养殖场场内外监控系统，互联网；</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7.供水设备，供电设备，供水费用，供电费用；</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8.饲料费用，兽药费用，鹅苗费用；</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9.养殖场人员费用。</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06CAE">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3127 </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6DC6D">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300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AA0C4">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0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50373">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2827 </w:t>
            </w:r>
          </w:p>
        </w:tc>
      </w:tr>
      <w:tr w14:paraId="73E80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5"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931AD">
            <w:pPr>
              <w:spacing w:line="300" w:lineRule="exact"/>
              <w:jc w:val="center"/>
              <w:rPr>
                <w:rFonts w:hint="default" w:ascii="Times New Roman" w:hAnsi="Times New Roman" w:eastAsia="宋体" w:cs="Times New Roman"/>
                <w:i w:val="0"/>
                <w:iCs w:val="0"/>
                <w:color w:val="auto"/>
                <w:sz w:val="24"/>
                <w:szCs w:val="24"/>
                <w:u w:val="none"/>
              </w:rPr>
            </w:pPr>
          </w:p>
        </w:tc>
        <w:tc>
          <w:tcPr>
            <w:tcW w:w="3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E8B54">
            <w:pPr>
              <w:spacing w:line="300" w:lineRule="exact"/>
              <w:jc w:val="center"/>
              <w:rPr>
                <w:rFonts w:hint="eastAsia" w:ascii="仿宋_GB2312" w:hAnsi="宋体" w:eastAsia="仿宋_GB2312" w:cs="仿宋_GB2312"/>
                <w:i w:val="0"/>
                <w:iCs w:val="0"/>
                <w:color w:val="auto"/>
                <w:sz w:val="24"/>
                <w:szCs w:val="24"/>
                <w:u w:val="none"/>
              </w:rPr>
            </w:pPr>
          </w:p>
        </w:tc>
        <w:tc>
          <w:tcPr>
            <w:tcW w:w="3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15267">
            <w:pPr>
              <w:spacing w:line="300" w:lineRule="exact"/>
              <w:jc w:val="center"/>
              <w:rPr>
                <w:rFonts w:hint="default" w:ascii="Times New Roman" w:hAnsi="Times New Roman" w:eastAsia="宋体" w:cs="Times New Roman"/>
                <w:i w:val="0"/>
                <w:iCs w:val="0"/>
                <w:color w:val="auto"/>
                <w:sz w:val="24"/>
                <w:szCs w:val="24"/>
                <w:u w:val="none"/>
              </w:rPr>
            </w:pP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C9217">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汕头市进士洲农业发展有限公司</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6302A">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东里镇</w:t>
            </w:r>
          </w:p>
        </w:tc>
        <w:tc>
          <w:tcPr>
            <w:tcW w:w="1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C8FA0">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财政资金用于：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1.建设鹅舍4个总面积3000平方米、鹅活动场3000平方米。</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2.活动水池1600平方米及水帘、卷帘、清粪等配套设施。</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b/>
                <w:bCs/>
                <w:i w:val="0"/>
                <w:iCs w:val="0"/>
                <w:color w:val="auto"/>
                <w:kern w:val="0"/>
                <w:sz w:val="24"/>
                <w:szCs w:val="24"/>
                <w:u w:val="none"/>
                <w:lang w:val="en-US" w:eastAsia="zh-CN" w:bidi="ar"/>
              </w:rPr>
              <w:t>社会资本用于：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1.建设肉鹅鹅舍，泳浴场；</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2.泳浴场水体粪污环保处理及防渗透处理8000平方米；</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3.购进生产配套设施设备：自动料槽、料盘、饮水装置；电动刮粪、青饲料切割、揉丝机、干料粉碎、水浴池过滤净化、雏苗舍控温、控湿等设备；</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4.购置孵化机20台、出雏机10台、自动控温设备10台、控湿设备10台；</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5.园区整体供水线路安装，园区整体供电变压变台安装；</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6.园区进场大门及消毒池2处；</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7.园区场地排水系统配套；</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8.园区人员工资；</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9.供水、供电费用；</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10.饲料、兽药费用；</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11.鹅苗费用；</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12.新增肉鹅5万只。</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0BA80">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3100 </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16CC2">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300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8B92C">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0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D4410">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2800 </w:t>
            </w:r>
          </w:p>
        </w:tc>
      </w:tr>
      <w:tr w14:paraId="21B4C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57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8750670">
            <w:pPr>
              <w:keepNext w:val="0"/>
              <w:keepLines w:val="0"/>
              <w:widowControl/>
              <w:suppressLineNumbers w:val="0"/>
              <w:spacing w:line="300" w:lineRule="exact"/>
              <w:ind w:firstLine="0" w:firstLineChars="0"/>
              <w:jc w:val="both"/>
              <w:textAlignment w:val="center"/>
              <w:rPr>
                <w:rFonts w:hint="eastAsia" w:ascii="黑体" w:hAnsi="宋体" w:eastAsia="黑体" w:cs="黑体"/>
                <w:b/>
                <w:bCs/>
                <w:i w:val="0"/>
                <w:iCs w:val="0"/>
                <w:color w:val="auto"/>
                <w:sz w:val="24"/>
                <w:szCs w:val="24"/>
                <w:u w:val="none"/>
              </w:rPr>
            </w:pPr>
            <w:r>
              <w:rPr>
                <w:rFonts w:hint="eastAsia" w:ascii="黑体" w:hAnsi="宋体" w:eastAsia="黑体" w:cs="黑体"/>
                <w:b/>
                <w:bCs/>
                <w:i w:val="0"/>
                <w:iCs w:val="0"/>
                <w:color w:val="auto"/>
                <w:kern w:val="0"/>
                <w:sz w:val="24"/>
                <w:szCs w:val="24"/>
                <w:u w:val="none"/>
                <w:lang w:val="en-US" w:eastAsia="zh-CN" w:bidi="ar"/>
              </w:rPr>
              <w:t>二、狮头鹅加工冷链提升工程</w:t>
            </w:r>
          </w:p>
        </w:tc>
        <w:tc>
          <w:tcPr>
            <w:tcW w:w="1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348CD">
            <w:pPr>
              <w:keepNext w:val="0"/>
              <w:keepLines w:val="0"/>
              <w:widowControl/>
              <w:suppressLineNumbers w:val="0"/>
              <w:spacing w:line="300" w:lineRule="exact"/>
              <w:ind w:firstLine="0" w:firstLineChars="0"/>
              <w:jc w:val="center"/>
              <w:textAlignment w:val="center"/>
              <w:rPr>
                <w:rFonts w:hint="eastAsia" w:ascii="黑体" w:hAnsi="宋体" w:eastAsia="黑体" w:cs="黑体"/>
                <w:b/>
                <w:bCs/>
                <w:i w:val="0"/>
                <w:iCs w:val="0"/>
                <w:color w:val="auto"/>
                <w:sz w:val="24"/>
                <w:szCs w:val="24"/>
                <w:u w:val="none"/>
              </w:rPr>
            </w:pPr>
            <w:r>
              <w:rPr>
                <w:rFonts w:hint="eastAsia" w:ascii="黑体" w:hAnsi="宋体" w:eastAsia="黑体" w:cs="黑体"/>
                <w:b/>
                <w:bCs/>
                <w:i w:val="0"/>
                <w:iCs w:val="0"/>
                <w:color w:val="auto"/>
                <w:kern w:val="0"/>
                <w:sz w:val="24"/>
                <w:szCs w:val="24"/>
                <w:u w:val="none"/>
                <w:lang w:val="en-US" w:eastAsia="zh-CN" w:bidi="ar"/>
              </w:rPr>
              <w:t>合计</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08E74">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 xml:space="preserve">13560 </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A65FC">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 xml:space="preserve">3760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B5B77">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 xml:space="preserve">0 </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54EE3">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 xml:space="preserve">9800 </w:t>
            </w:r>
          </w:p>
        </w:tc>
      </w:tr>
      <w:tr w14:paraId="29070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01BE8">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3</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F32F8">
            <w:pPr>
              <w:keepNext w:val="0"/>
              <w:keepLines w:val="0"/>
              <w:widowControl/>
              <w:suppressLineNumbers w:val="0"/>
              <w:spacing w:line="300" w:lineRule="exact"/>
              <w:ind w:firstLine="0" w:firstLineChars="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生产加工基地建设项目</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CFA4B">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2024-2026</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82507">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汕头市澄海区振农投资发展有限公司（平台企业）</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99EFD">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莲上镇</w:t>
            </w:r>
          </w:p>
        </w:tc>
        <w:tc>
          <w:tcPr>
            <w:tcW w:w="1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C56F2">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平台公司使用中央财政奖补资金购置约5亩土地及约10000</w:t>
            </w:r>
            <w:r>
              <w:rPr>
                <w:rFonts w:hint="eastAsia" w:ascii="宋体" w:hAnsi="宋体" w:eastAsia="宋体" w:cs="宋体"/>
                <w:i w:val="0"/>
                <w:iCs w:val="0"/>
                <w:color w:val="auto"/>
                <w:kern w:val="0"/>
                <w:sz w:val="24"/>
                <w:szCs w:val="24"/>
                <w:u w:val="none"/>
                <w:lang w:val="en-US" w:eastAsia="zh-CN" w:bidi="ar"/>
              </w:rPr>
              <w:t>㎡</w:t>
            </w:r>
            <w:r>
              <w:rPr>
                <w:rFonts w:hint="eastAsia" w:ascii="仿宋_GB2312" w:hAnsi="宋体" w:eastAsia="仿宋_GB2312" w:cs="仿宋_GB2312"/>
                <w:i w:val="0"/>
                <w:iCs w:val="0"/>
                <w:color w:val="auto"/>
                <w:kern w:val="0"/>
                <w:sz w:val="24"/>
                <w:szCs w:val="24"/>
                <w:u w:val="none"/>
                <w:lang w:val="en-US" w:eastAsia="zh-CN" w:bidi="ar"/>
              </w:rPr>
              <w:t>厂房后出租给产业园经营主体，每年收取租金，并将收益的30%用于支持乡村振兴建设。</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C826F">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13560 </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471D6">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3760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43798">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0 </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EAB23">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9800 </w:t>
            </w:r>
          </w:p>
        </w:tc>
      </w:tr>
      <w:tr w14:paraId="23215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157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1E88D02">
            <w:pPr>
              <w:keepNext w:val="0"/>
              <w:keepLines w:val="0"/>
              <w:widowControl/>
              <w:suppressLineNumbers w:val="0"/>
              <w:spacing w:line="300" w:lineRule="exact"/>
              <w:ind w:firstLine="0" w:firstLineChars="0"/>
              <w:jc w:val="both"/>
              <w:textAlignment w:val="center"/>
              <w:rPr>
                <w:rFonts w:hint="eastAsia" w:ascii="黑体" w:hAnsi="宋体" w:eastAsia="黑体" w:cs="黑体"/>
                <w:b/>
                <w:bCs/>
                <w:i w:val="0"/>
                <w:iCs w:val="0"/>
                <w:color w:val="auto"/>
                <w:sz w:val="24"/>
                <w:szCs w:val="24"/>
                <w:u w:val="none"/>
              </w:rPr>
            </w:pPr>
            <w:r>
              <w:rPr>
                <w:rFonts w:hint="eastAsia" w:ascii="黑体" w:hAnsi="宋体" w:eastAsia="黑体" w:cs="黑体"/>
                <w:b/>
                <w:bCs/>
                <w:i w:val="0"/>
                <w:iCs w:val="0"/>
                <w:color w:val="auto"/>
                <w:kern w:val="0"/>
                <w:sz w:val="24"/>
                <w:szCs w:val="24"/>
                <w:u w:val="none"/>
                <w:lang w:val="en-US" w:eastAsia="zh-CN" w:bidi="ar"/>
              </w:rPr>
              <w:t>三、狮头鹅产业服务提升工程</w:t>
            </w:r>
          </w:p>
        </w:tc>
        <w:tc>
          <w:tcPr>
            <w:tcW w:w="1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50070">
            <w:pPr>
              <w:keepNext w:val="0"/>
              <w:keepLines w:val="0"/>
              <w:widowControl/>
              <w:suppressLineNumbers w:val="0"/>
              <w:spacing w:line="300" w:lineRule="exact"/>
              <w:ind w:firstLine="0" w:firstLineChars="0"/>
              <w:jc w:val="center"/>
              <w:textAlignment w:val="center"/>
              <w:rPr>
                <w:rFonts w:hint="eastAsia" w:ascii="黑体" w:hAnsi="宋体" w:eastAsia="黑体" w:cs="黑体"/>
                <w:b/>
                <w:bCs/>
                <w:i w:val="0"/>
                <w:iCs w:val="0"/>
                <w:color w:val="auto"/>
                <w:sz w:val="24"/>
                <w:szCs w:val="24"/>
                <w:u w:val="none"/>
              </w:rPr>
            </w:pPr>
            <w:r>
              <w:rPr>
                <w:rFonts w:hint="eastAsia" w:ascii="黑体" w:hAnsi="宋体" w:eastAsia="黑体" w:cs="黑体"/>
                <w:b/>
                <w:bCs/>
                <w:i w:val="0"/>
                <w:iCs w:val="0"/>
                <w:color w:val="auto"/>
                <w:kern w:val="0"/>
                <w:sz w:val="24"/>
                <w:szCs w:val="24"/>
                <w:u w:val="none"/>
                <w:lang w:val="en-US" w:eastAsia="zh-CN" w:bidi="ar"/>
              </w:rPr>
              <w:t>合计</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773AC">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 xml:space="preserve">1340 </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0734F">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 xml:space="preserve">1240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CC0D9">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 xml:space="preserve">100 </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16A68">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 xml:space="preserve">0 </w:t>
            </w:r>
          </w:p>
        </w:tc>
      </w:tr>
      <w:tr w14:paraId="7C01F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28C60">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4</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1DF33">
            <w:pPr>
              <w:keepNext w:val="0"/>
              <w:keepLines w:val="0"/>
              <w:widowControl/>
              <w:suppressLineNumbers w:val="0"/>
              <w:spacing w:line="300" w:lineRule="exact"/>
              <w:ind w:firstLine="0" w:firstLineChars="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狮头鹅原种保护和培育建设项目</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A8B5A">
            <w:pPr>
              <w:keepNext w:val="0"/>
              <w:keepLines w:val="0"/>
              <w:widowControl/>
              <w:suppressLineNumbers w:val="0"/>
              <w:spacing w:line="300" w:lineRule="exact"/>
              <w:ind w:firstLine="0" w:firstLineChars="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2024-2026</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7546B">
            <w:pPr>
              <w:keepNext w:val="0"/>
              <w:keepLines w:val="0"/>
              <w:widowControl/>
              <w:suppressLineNumbers w:val="0"/>
              <w:spacing w:line="300" w:lineRule="exact"/>
              <w:ind w:firstLine="0" w:firstLineChars="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汕头市白沙禽畜原种研究所</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06965">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凤翔街道、隆都镇</w:t>
            </w:r>
          </w:p>
        </w:tc>
        <w:tc>
          <w:tcPr>
            <w:tcW w:w="1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DBFE9">
            <w:pPr>
              <w:keepNext w:val="0"/>
              <w:keepLines w:val="0"/>
              <w:widowControl/>
              <w:suppressLineNumbers w:val="0"/>
              <w:spacing w:after="240" w:afterAutospacing="0"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项目通过建设狮头鹅种质资源创新基地、狮头鹅遗传资源研究实验室、狮头鹅种质资源遗传资源库构建及检测服务站实验设备购置，培育狮头鹅快大新品系，显著提高饲料转化率和料肉比，预计新品系出栏时120日龄体重提高0.75公斤以上，饲料成本降低2%-3%；构建种质资源库为科研机构、高校及企业开展狮头鹅遗传育种、基因功能挖掘等研究提供支持。同时，做好新品系推广示范，形成标准化养殖技术体系，推动农村劳动力就业，助力乡村产业振兴。</w:t>
            </w:r>
            <w:r>
              <w:rPr>
                <w:rFonts w:hint="eastAsia" w:ascii="仿宋_GB2312" w:hAnsi="宋体" w:eastAsia="仿宋_GB2312" w:cs="仿宋_GB2312"/>
                <w:b/>
                <w:bCs/>
                <w:i w:val="0"/>
                <w:iCs w:val="0"/>
                <w:color w:val="auto"/>
                <w:kern w:val="0"/>
                <w:sz w:val="24"/>
                <w:szCs w:val="24"/>
                <w:u w:val="none"/>
                <w:lang w:val="en-US" w:eastAsia="zh-CN" w:bidi="ar"/>
              </w:rPr>
              <w:br w:type="textWrapping"/>
            </w:r>
            <w:r>
              <w:rPr>
                <w:rFonts w:hint="eastAsia" w:ascii="仿宋_GB2312" w:hAnsi="宋体" w:eastAsia="仿宋_GB2312" w:cs="仿宋_GB2312"/>
                <w:b/>
                <w:bCs/>
                <w:i w:val="0"/>
                <w:iCs w:val="0"/>
                <w:color w:val="auto"/>
                <w:kern w:val="0"/>
                <w:sz w:val="24"/>
                <w:szCs w:val="24"/>
                <w:u w:val="none"/>
                <w:lang w:val="en-US" w:eastAsia="zh-CN" w:bidi="ar"/>
              </w:rPr>
              <w:t>财政资金用于：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狮头鹅种质资源创新（新品系（配套系）培育）基地建设:新品种培育所需育种种鹅舍1栋及配套围栏、水电、小水体和自动投料刮粪等设施；育种后备舍1栋及配套围栏、水电、小水体和自动投料刮粪等设施；育雏舍1栋及配套育雏栏、水电及自动投料刮粪等设施；</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2.狮头鹅遗传资源研究实验室及配套设施设备:升级改造狮头鹅遗传资源研究实验室；配套实验台、水电、桌椅等设施；购置实验冰箱、遗传育种、肉质测定等设备。</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 狮头鹅种质资源遗传资源库构建。主要用于基因测序、特征性状基因挖掘、开展血液生理生化指标、肉品质指标、肠道微生物及重点部位如肉瘤营养学测定等。</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4.检测服务站实验设备。主要用于检测服务站购置霉菌霉素快速检测仪、兽药残留多通道检测仪及实验室基础设备（离心机、恒温培养箱、样品储存柜等）等。</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b/>
                <w:bCs/>
                <w:i w:val="0"/>
                <w:iCs w:val="0"/>
                <w:color w:val="auto"/>
                <w:kern w:val="0"/>
                <w:sz w:val="24"/>
                <w:szCs w:val="24"/>
                <w:u w:val="none"/>
                <w:lang w:val="en-US" w:eastAsia="zh-CN" w:bidi="ar"/>
              </w:rPr>
              <w:t>统筹资金用于：</w:t>
            </w:r>
            <w:r>
              <w:rPr>
                <w:rFonts w:hint="eastAsia" w:ascii="仿宋_GB2312" w:hAnsi="宋体" w:eastAsia="仿宋_GB2312" w:cs="仿宋_GB2312"/>
                <w:b/>
                <w:bCs/>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狮头鹅种质资源群饲养所需饲料及项目设计、审核和监理等费用。</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7B27A">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780 </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2F757">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680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9715A">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100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74073">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0 </w:t>
            </w:r>
          </w:p>
        </w:tc>
      </w:tr>
      <w:tr w14:paraId="3A54D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6A946">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5</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49F0F">
            <w:pPr>
              <w:keepNext w:val="0"/>
              <w:keepLines w:val="0"/>
              <w:widowControl/>
              <w:suppressLineNumbers w:val="0"/>
              <w:spacing w:line="300" w:lineRule="exact"/>
              <w:ind w:firstLine="0" w:firstLineChars="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澄海狮头鹅全产业链标准体系与区域品牌提升建设项目</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46178">
            <w:pPr>
              <w:keepNext w:val="0"/>
              <w:keepLines w:val="0"/>
              <w:widowControl/>
              <w:suppressLineNumbers w:val="0"/>
              <w:spacing w:line="300" w:lineRule="exact"/>
              <w:ind w:firstLine="0" w:firstLineChars="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2024-2026</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5F99D">
            <w:pPr>
              <w:keepNext w:val="0"/>
              <w:keepLines w:val="0"/>
              <w:widowControl/>
              <w:suppressLineNumbers w:val="0"/>
              <w:spacing w:line="300" w:lineRule="exact"/>
              <w:ind w:firstLine="0" w:firstLineChars="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澄海区农业农村局</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08658">
            <w:pPr>
              <w:keepNext w:val="0"/>
              <w:keepLines w:val="0"/>
              <w:widowControl/>
              <w:suppressLineNumbers w:val="0"/>
              <w:spacing w:line="300" w:lineRule="exact"/>
              <w:ind w:firstLine="0" w:firstLineChars="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产业全域</w:t>
            </w:r>
          </w:p>
        </w:tc>
        <w:tc>
          <w:tcPr>
            <w:tcW w:w="1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9D692">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与国内外主流媒体及社交媒体合作，开展品牌提升、宣传推广；举办澄海狮头鹅产业合作交流会，组织产业相关经营主体到省内外参加推介会和展览会，实现产销对接，开拓国内外市场。产业园亮牌树牌，打造文化展厅。</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围绕澄海狮头鹅种鹅繁育标准、狮头鹅养殖基地标准、饲料质量标准、疫病防控标准、粪污及废弃物资源化利用标准、肉鹅屠宰标准、冰鲜鹅配送标准、肉鹅卤制加工标准、冷链流通标准、鹅毛羽绒加工、狮头鹅预制菜加工标准、狮头鹅可追溯与供应管理评价标准等全产业链标准体系，增补健全地方标准体系。申报“澄海狮头鹅”国家农产品地理标志。申报狮头鹅集体商标。</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29BD5">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560 </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8830D">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560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359A4">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0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A037B">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0 </w:t>
            </w:r>
          </w:p>
        </w:tc>
      </w:tr>
      <w:tr w14:paraId="651B5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57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8E46E68">
            <w:pPr>
              <w:keepNext w:val="0"/>
              <w:keepLines w:val="0"/>
              <w:widowControl/>
              <w:suppressLineNumbers w:val="0"/>
              <w:spacing w:line="300" w:lineRule="exact"/>
              <w:ind w:firstLine="0" w:firstLineChars="0"/>
              <w:jc w:val="both"/>
              <w:textAlignment w:val="center"/>
              <w:rPr>
                <w:rFonts w:hint="eastAsia" w:ascii="黑体" w:hAnsi="宋体" w:eastAsia="黑体" w:cs="黑体"/>
                <w:b/>
                <w:bCs/>
                <w:i w:val="0"/>
                <w:iCs w:val="0"/>
                <w:color w:val="auto"/>
                <w:sz w:val="24"/>
                <w:szCs w:val="24"/>
                <w:u w:val="none"/>
              </w:rPr>
            </w:pPr>
            <w:r>
              <w:rPr>
                <w:rFonts w:hint="eastAsia" w:ascii="黑体" w:hAnsi="宋体" w:eastAsia="黑体" w:cs="黑体"/>
                <w:b/>
                <w:bCs/>
                <w:i w:val="0"/>
                <w:iCs w:val="0"/>
                <w:color w:val="auto"/>
                <w:kern w:val="0"/>
                <w:sz w:val="24"/>
                <w:szCs w:val="24"/>
                <w:u w:val="none"/>
                <w:lang w:val="en-US" w:eastAsia="zh-CN" w:bidi="ar"/>
              </w:rPr>
              <w:t>四、产业兴旺助力乡村振兴工程</w:t>
            </w:r>
          </w:p>
        </w:tc>
        <w:tc>
          <w:tcPr>
            <w:tcW w:w="1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061DE">
            <w:pPr>
              <w:keepNext w:val="0"/>
              <w:keepLines w:val="0"/>
              <w:widowControl/>
              <w:suppressLineNumbers w:val="0"/>
              <w:spacing w:line="300" w:lineRule="exact"/>
              <w:ind w:firstLine="0" w:firstLineChars="0"/>
              <w:jc w:val="center"/>
              <w:textAlignment w:val="center"/>
              <w:rPr>
                <w:rFonts w:hint="eastAsia" w:ascii="黑体" w:hAnsi="宋体" w:eastAsia="黑体" w:cs="黑体"/>
                <w:b/>
                <w:bCs/>
                <w:i w:val="0"/>
                <w:iCs w:val="0"/>
                <w:color w:val="auto"/>
                <w:sz w:val="24"/>
                <w:szCs w:val="24"/>
                <w:u w:val="none"/>
              </w:rPr>
            </w:pPr>
            <w:r>
              <w:rPr>
                <w:rFonts w:hint="eastAsia" w:ascii="黑体" w:hAnsi="宋体" w:eastAsia="黑体" w:cs="黑体"/>
                <w:b/>
                <w:bCs/>
                <w:i w:val="0"/>
                <w:iCs w:val="0"/>
                <w:color w:val="auto"/>
                <w:kern w:val="0"/>
                <w:sz w:val="24"/>
                <w:szCs w:val="24"/>
                <w:u w:val="none"/>
                <w:lang w:val="en-US" w:eastAsia="zh-CN" w:bidi="ar"/>
              </w:rPr>
              <w:t>合计</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DEC14">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 xml:space="preserve">155393 </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72761">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 xml:space="preserve">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13FE5">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 xml:space="preserve">75080 </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8F9E0">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 xml:space="preserve">80313 </w:t>
            </w:r>
          </w:p>
        </w:tc>
      </w:tr>
      <w:tr w14:paraId="46D4C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2"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FBC44">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6</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A2A14">
            <w:pPr>
              <w:keepNext w:val="0"/>
              <w:keepLines w:val="0"/>
              <w:widowControl/>
              <w:suppressLineNumbers w:val="0"/>
              <w:spacing w:line="300" w:lineRule="exact"/>
              <w:ind w:firstLine="0" w:firstLineChars="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加强狮头鹅产业基础设施保障建设项目</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513C6">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2024-2026</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F6375">
            <w:pPr>
              <w:keepNext w:val="0"/>
              <w:keepLines w:val="0"/>
              <w:widowControl/>
              <w:suppressLineNumbers w:val="0"/>
              <w:spacing w:line="300" w:lineRule="exact"/>
              <w:ind w:firstLine="0" w:firstLineChars="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产业园内相关镇人民政府和相关狮头鹅经营主体</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EDA18">
            <w:pPr>
              <w:spacing w:line="300" w:lineRule="exact"/>
              <w:jc w:val="left"/>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产业全域</w:t>
            </w:r>
          </w:p>
        </w:tc>
        <w:tc>
          <w:tcPr>
            <w:tcW w:w="1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B8192">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围绕狮头鹅产区，开展主要运输道路建设，加强农村生活用水、用电、用网等配套基础设施建设，保障狮头鹅基地正常生产需要。</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983DC">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147633 </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AD731">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0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7F770">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67320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EC243">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80313 </w:t>
            </w:r>
          </w:p>
        </w:tc>
      </w:tr>
      <w:tr w14:paraId="30F82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61DEA">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7</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216E8">
            <w:pPr>
              <w:keepNext w:val="0"/>
              <w:keepLines w:val="0"/>
              <w:widowControl/>
              <w:suppressLineNumbers w:val="0"/>
              <w:spacing w:line="300" w:lineRule="exact"/>
              <w:ind w:firstLine="0" w:firstLineChars="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产村融合建设项目</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1D42B">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2024-2026</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E59C6">
            <w:pPr>
              <w:keepNext w:val="0"/>
              <w:keepLines w:val="0"/>
              <w:widowControl/>
              <w:suppressLineNumbers w:val="0"/>
              <w:spacing w:line="300" w:lineRule="exact"/>
              <w:ind w:firstLine="0" w:firstLineChars="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产业园内相关镇人民政府和相关狮头鹅经营主体</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6C51F">
            <w:pPr>
              <w:spacing w:line="300" w:lineRule="exact"/>
              <w:jc w:val="left"/>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产业全域</w:t>
            </w:r>
          </w:p>
        </w:tc>
        <w:tc>
          <w:tcPr>
            <w:tcW w:w="1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FC5DA">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深入推进</w:t>
            </w:r>
            <w:r>
              <w:rPr>
                <w:rFonts w:hint="default" w:ascii="Times New Roman" w:hAnsi="Times New Roman" w:eastAsia="仿宋_GB2312" w:cs="Times New Roman"/>
                <w:i w:val="0"/>
                <w:iCs w:val="0"/>
                <w:color w:val="auto"/>
                <w:kern w:val="0"/>
                <w:sz w:val="24"/>
                <w:szCs w:val="24"/>
                <w:u w:val="none"/>
                <w:lang w:val="en-US" w:eastAsia="zh-CN" w:bidi="ar"/>
              </w:rPr>
              <w:t>“</w:t>
            </w:r>
            <w:r>
              <w:rPr>
                <w:rFonts w:hint="eastAsia" w:ascii="仿宋_GB2312" w:hAnsi="宋体" w:eastAsia="仿宋_GB2312" w:cs="仿宋_GB2312"/>
                <w:i w:val="0"/>
                <w:iCs w:val="0"/>
                <w:color w:val="auto"/>
                <w:kern w:val="0"/>
                <w:sz w:val="24"/>
                <w:szCs w:val="24"/>
                <w:u w:val="none"/>
                <w:lang w:val="en-US" w:eastAsia="zh-CN" w:bidi="ar"/>
              </w:rPr>
              <w:t>百县千镇万村高质量发展工程</w:t>
            </w:r>
            <w:r>
              <w:rPr>
                <w:rFonts w:hint="default" w:ascii="Times New Roman" w:hAnsi="Times New Roman" w:eastAsia="仿宋_GB2312" w:cs="Times New Roman"/>
                <w:i w:val="0"/>
                <w:iCs w:val="0"/>
                <w:color w:val="auto"/>
                <w:kern w:val="0"/>
                <w:sz w:val="24"/>
                <w:szCs w:val="24"/>
                <w:u w:val="none"/>
                <w:lang w:val="en-US" w:eastAsia="zh-CN" w:bidi="ar"/>
              </w:rPr>
              <w:t>”</w:t>
            </w:r>
            <w:r>
              <w:rPr>
                <w:rFonts w:hint="eastAsia" w:ascii="仿宋_GB2312" w:hAnsi="宋体" w:eastAsia="仿宋_GB2312" w:cs="仿宋_GB2312"/>
                <w:i w:val="0"/>
                <w:iCs w:val="0"/>
                <w:color w:val="auto"/>
                <w:kern w:val="0"/>
                <w:sz w:val="24"/>
                <w:szCs w:val="24"/>
                <w:u w:val="none"/>
                <w:lang w:val="en-US" w:eastAsia="zh-CN" w:bidi="ar"/>
              </w:rPr>
              <w:t>，将狮头鹅产业发展与美丽乡村建设相结合，充分挖掘狮头鹅文化，统筹地方涉农资金进一步完善狮头鹅文化宣传基础设施及狮头鹅主产区风貌提升等，建设狮头鹅主题的乡村振兴示范带。</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7B1A6">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7760 </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0D55E">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0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5CCF4">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7760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1494F">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0 </w:t>
            </w:r>
          </w:p>
        </w:tc>
      </w:tr>
      <w:tr w14:paraId="393C8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89"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03FEBF">
            <w:pPr>
              <w:keepNext w:val="0"/>
              <w:keepLines w:val="0"/>
              <w:widowControl/>
              <w:suppressLineNumbers w:val="0"/>
              <w:spacing w:line="300" w:lineRule="exact"/>
              <w:ind w:firstLine="0" w:firstLineChars="0"/>
              <w:jc w:val="center"/>
              <w:textAlignment w:val="center"/>
              <w:rPr>
                <w:rFonts w:hint="eastAsia" w:ascii="黑体" w:hAnsi="宋体" w:eastAsia="黑体" w:cs="黑体"/>
                <w:b/>
                <w:bCs/>
                <w:i w:val="0"/>
                <w:iCs w:val="0"/>
                <w:color w:val="auto"/>
                <w:sz w:val="24"/>
                <w:szCs w:val="24"/>
                <w:u w:val="none"/>
              </w:rPr>
            </w:pPr>
            <w:r>
              <w:rPr>
                <w:rFonts w:hint="eastAsia" w:ascii="黑体" w:hAnsi="宋体" w:eastAsia="黑体" w:cs="黑体"/>
                <w:b/>
                <w:bCs/>
                <w:i w:val="0"/>
                <w:iCs w:val="0"/>
                <w:color w:val="auto"/>
                <w:kern w:val="0"/>
                <w:sz w:val="24"/>
                <w:szCs w:val="24"/>
                <w:u w:val="none"/>
                <w:lang w:val="en-US" w:eastAsia="zh-CN" w:bidi="ar"/>
              </w:rPr>
              <w:t>合计</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226DF">
            <w:pPr>
              <w:spacing w:line="300" w:lineRule="exact"/>
              <w:rPr>
                <w:rFonts w:hint="default" w:ascii="Times New Roman" w:hAnsi="Times New Roman" w:eastAsia="宋体" w:cs="Times New Roman"/>
                <w:i w:val="0"/>
                <w:iCs w:val="0"/>
                <w:color w:val="auto"/>
                <w:sz w:val="24"/>
                <w:szCs w:val="24"/>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C5C5F">
            <w:pPr>
              <w:spacing w:line="300" w:lineRule="exact"/>
              <w:jc w:val="center"/>
              <w:rPr>
                <w:rFonts w:hint="eastAsia" w:ascii="黑体" w:hAnsi="宋体" w:eastAsia="黑体" w:cs="黑体"/>
                <w:i w:val="0"/>
                <w:iCs w:val="0"/>
                <w:color w:val="auto"/>
                <w:sz w:val="24"/>
                <w:szCs w:val="24"/>
                <w:u w:val="none"/>
              </w:rPr>
            </w:pPr>
          </w:p>
        </w:tc>
        <w:tc>
          <w:tcPr>
            <w:tcW w:w="17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E439B">
            <w:pPr>
              <w:keepNext w:val="0"/>
              <w:keepLines w:val="0"/>
              <w:widowControl/>
              <w:suppressLineNumbers w:val="0"/>
              <w:spacing w:line="300" w:lineRule="exact"/>
              <w:ind w:firstLine="0" w:firstLineChars="0"/>
              <w:jc w:val="center"/>
              <w:textAlignment w:val="center"/>
              <w:rPr>
                <w:rFonts w:hint="eastAsia" w:ascii="黑体" w:hAnsi="宋体" w:eastAsia="黑体" w:cs="黑体"/>
                <w:b/>
                <w:bCs/>
                <w:i w:val="0"/>
                <w:iCs w:val="0"/>
                <w:color w:val="auto"/>
                <w:sz w:val="24"/>
                <w:szCs w:val="24"/>
                <w:u w:val="none"/>
              </w:rPr>
            </w:pPr>
            <w:r>
              <w:rPr>
                <w:rFonts w:hint="eastAsia" w:ascii="黑体" w:hAnsi="宋体" w:eastAsia="黑体" w:cs="黑体"/>
                <w:b/>
                <w:bCs/>
                <w:i w:val="0"/>
                <w:iCs w:val="0"/>
                <w:color w:val="auto"/>
                <w:kern w:val="0"/>
                <w:sz w:val="24"/>
                <w:szCs w:val="24"/>
                <w:u w:val="none"/>
                <w:lang w:val="en-US" w:eastAsia="zh-CN" w:bidi="ar"/>
              </w:rPr>
              <w:t>共计7个项目</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CCD41">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 xml:space="preserve">191352 </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E220A">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 xml:space="preserve">7000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19D41">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 xml:space="preserve">75180 </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6F8DC">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 xml:space="preserve">109172 </w:t>
            </w:r>
          </w:p>
        </w:tc>
      </w:tr>
    </w:tbl>
    <w:p w14:paraId="7E866811">
      <w:pPr>
        <w:spacing w:line="240" w:lineRule="auto"/>
        <w:ind w:firstLine="0" w:firstLineChars="0"/>
        <w:rPr>
          <w:rFonts w:hint="eastAsia" w:ascii="Times New Roman" w:hAnsi="Times New Roman"/>
          <w:color w:val="auto"/>
          <w:highlight w:val="none"/>
          <w:lang w:val="en-US" w:eastAsia="zh-CN"/>
        </w:rPr>
      </w:pPr>
    </w:p>
    <w:p w14:paraId="72081604">
      <w:pPr>
        <w:keepNext w:val="0"/>
        <w:keepLines w:val="0"/>
        <w:pageBreakBefore w:val="0"/>
        <w:widowControl/>
        <w:suppressLineNumbers w:val="0"/>
        <w:kinsoku/>
        <w:wordWrap/>
        <w:overflowPunct/>
        <w:topLinePunct w:val="0"/>
        <w:autoSpaceDE/>
        <w:autoSpaceDN/>
        <w:bidi w:val="0"/>
        <w:adjustRightInd/>
        <w:snapToGrid/>
        <w:spacing w:line="590" w:lineRule="exact"/>
        <w:ind w:left="0" w:leftChars="0" w:firstLine="0" w:firstLineChars="0"/>
        <w:jc w:val="center"/>
        <w:textAlignment w:val="center"/>
        <w:rPr>
          <w:rFonts w:hint="eastAsia" w:ascii="Times New Roman" w:hAnsi="Times New Roman" w:eastAsia="黑体" w:cs="Times New Roman"/>
          <w:b w:val="0"/>
          <w:bCs w:val="0"/>
          <w:color w:val="auto"/>
          <w:sz w:val="28"/>
          <w:szCs w:val="28"/>
          <w:highlight w:val="none"/>
          <w:lang w:val="en-US" w:eastAsia="zh-CN"/>
        </w:rPr>
      </w:pPr>
    </w:p>
    <w:p w14:paraId="6634CF6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Times New Roman" w:hAnsi="Times New Roman" w:eastAsia="黑体" w:cs="Times New Roman"/>
          <w:b w:val="0"/>
          <w:bCs w:val="0"/>
          <w:color w:val="auto"/>
          <w:sz w:val="28"/>
          <w:szCs w:val="28"/>
          <w:highlight w:val="none"/>
          <w:lang w:val="en-US" w:eastAsia="zh-CN"/>
        </w:rPr>
      </w:pPr>
    </w:p>
    <w:p w14:paraId="2808AD4B">
      <w:pPr>
        <w:ind w:left="0" w:leftChars="0" w:firstLine="0" w:firstLineChars="0"/>
        <w:rPr>
          <w:rFonts w:hint="default" w:ascii="Times New Roman" w:hAnsi="Times New Roman"/>
          <w:color w:val="auto"/>
          <w:highlight w:val="none"/>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6D2688D">
      <w:pPr>
        <w:pStyle w:val="3"/>
        <w:keepNext/>
        <w:pageBreakBefore w:val="0"/>
        <w:spacing w:before="0" w:beforeLines="-2147483648" w:after="0" w:afterLines="-2147483648" w:line="360" w:lineRule="auto"/>
        <w:ind w:firstLine="640" w:firstLineChars="200"/>
        <w:jc w:val="both"/>
        <w:rPr>
          <w:rFonts w:hint="default" w:ascii="Times New Roman" w:hAnsi="Times New Roman" w:cs="Times New Roman"/>
          <w:b w:val="0"/>
          <w:bCs/>
          <w:color w:val="auto"/>
          <w:szCs w:val="44"/>
          <w:highlight w:val="none"/>
          <w:lang w:val="en-US" w:eastAsia="zh-CN"/>
        </w:rPr>
      </w:pPr>
      <w:bookmarkStart w:id="199" w:name="_Toc26544"/>
      <w:r>
        <w:rPr>
          <w:rFonts w:hint="eastAsia" w:ascii="Times New Roman" w:hAnsi="Times New Roman" w:cs="Times New Roman"/>
          <w:b w:val="0"/>
          <w:bCs/>
          <w:color w:val="auto"/>
          <w:szCs w:val="44"/>
          <w:highlight w:val="none"/>
          <w:lang w:val="en-US" w:eastAsia="zh-CN"/>
        </w:rPr>
        <w:t>七、</w:t>
      </w:r>
      <w:bookmarkEnd w:id="189"/>
      <w:bookmarkEnd w:id="190"/>
      <w:bookmarkEnd w:id="191"/>
      <w:bookmarkEnd w:id="192"/>
      <w:bookmarkEnd w:id="193"/>
      <w:bookmarkEnd w:id="194"/>
      <w:r>
        <w:rPr>
          <w:rFonts w:hint="eastAsia" w:ascii="Times New Roman" w:hAnsi="Times New Roman" w:cs="Times New Roman"/>
          <w:b w:val="0"/>
          <w:bCs/>
          <w:color w:val="auto"/>
          <w:szCs w:val="44"/>
          <w:highlight w:val="none"/>
          <w:lang w:val="en-US" w:eastAsia="zh-CN"/>
        </w:rPr>
        <w:t>资金筹措</w:t>
      </w:r>
      <w:bookmarkEnd w:id="199"/>
    </w:p>
    <w:p w14:paraId="41A72723">
      <w:pPr>
        <w:pStyle w:val="4"/>
        <w:keepNext w:val="0"/>
        <w:keepLines/>
        <w:pageBreakBefore w:val="0"/>
        <w:widowControl/>
        <w:kinsoku/>
        <w:wordWrap/>
        <w:overflowPunct/>
        <w:topLinePunct w:val="0"/>
        <w:autoSpaceDE/>
        <w:autoSpaceDN/>
        <w:bidi w:val="0"/>
        <w:adjustRightInd/>
        <w:snapToGrid/>
        <w:spacing w:line="590" w:lineRule="exact"/>
        <w:ind w:firstLine="643" w:firstLineChars="200"/>
        <w:textAlignment w:val="auto"/>
        <w:outlineLvl w:val="1"/>
        <w:rPr>
          <w:rFonts w:hint="eastAsia" w:ascii="Times New Roman" w:hAnsi="Times New Roman" w:eastAsia="楷体_GB2312" w:cs="楷体_GB2312"/>
          <w:b/>
          <w:bCs w:val="0"/>
          <w:color w:val="auto"/>
          <w:highlight w:val="none"/>
          <w:lang w:val="en-US" w:eastAsia="zh-CN"/>
        </w:rPr>
      </w:pPr>
      <w:bookmarkStart w:id="200" w:name="_Toc5391"/>
      <w:bookmarkStart w:id="201" w:name="_Toc20818"/>
      <w:bookmarkStart w:id="202" w:name="_Toc7888"/>
      <w:bookmarkStart w:id="203" w:name="_Toc21459"/>
      <w:bookmarkStart w:id="204" w:name="_Toc15332"/>
      <w:bookmarkStart w:id="205" w:name="_Toc32602"/>
      <w:bookmarkStart w:id="206" w:name="_Toc8018"/>
      <w:r>
        <w:rPr>
          <w:rFonts w:hint="eastAsia" w:ascii="Times New Roman" w:hAnsi="Times New Roman" w:eastAsia="楷体_GB2312" w:cs="楷体_GB2312"/>
          <w:b/>
          <w:bCs w:val="0"/>
          <w:color w:val="auto"/>
          <w:highlight w:val="none"/>
          <w:lang w:val="en-US" w:eastAsia="zh-CN"/>
        </w:rPr>
        <w:t>（一）投资估算</w:t>
      </w:r>
      <w:bookmarkEnd w:id="200"/>
      <w:bookmarkEnd w:id="201"/>
      <w:bookmarkEnd w:id="202"/>
      <w:bookmarkEnd w:id="203"/>
      <w:bookmarkEnd w:id="204"/>
      <w:bookmarkEnd w:id="205"/>
      <w:bookmarkEnd w:id="206"/>
    </w:p>
    <w:p w14:paraId="0044DEC6">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 w:val="32"/>
          <w:szCs w:val="32"/>
          <w:highlight w:val="none"/>
          <w:lang w:val="en-US" w:eastAsia="zh-CN"/>
        </w:rPr>
      </w:pPr>
      <w:bookmarkStart w:id="207" w:name="_Toc17251"/>
      <w:bookmarkStart w:id="208" w:name="_Toc9612"/>
      <w:bookmarkStart w:id="209" w:name="_Toc2639"/>
      <w:r>
        <w:rPr>
          <w:rFonts w:hint="default" w:ascii="Times New Roman" w:hAnsi="Times New Roman" w:cs="仿宋_GB2312"/>
          <w:color w:val="auto"/>
          <w:sz w:val="32"/>
          <w:szCs w:val="32"/>
          <w:highlight w:val="none"/>
          <w:lang w:val="en-US" w:eastAsia="zh-CN"/>
        </w:rPr>
        <w:t>1.估算依据</w:t>
      </w:r>
      <w:bookmarkEnd w:id="207"/>
      <w:bookmarkEnd w:id="208"/>
      <w:bookmarkEnd w:id="209"/>
    </w:p>
    <w:p w14:paraId="360D0A4F">
      <w:pPr>
        <w:pageBreakBefore w:val="0"/>
        <w:kinsoku/>
        <w:overflowPunct/>
        <w:topLinePunct w:val="0"/>
        <w:autoSpaceDE/>
        <w:autoSpaceDN/>
        <w:bidi w:val="0"/>
        <w:adjustRightInd/>
        <w:snapToGrid/>
        <w:spacing w:line="590" w:lineRule="exact"/>
        <w:ind w:firstLine="640"/>
        <w:rPr>
          <w:rFonts w:hint="default" w:ascii="Times New Roman" w:hAnsi="Times New Roman" w:eastAsia="仿宋_GB2312" w:cs="Times New Roman"/>
          <w:color w:val="auto"/>
          <w:sz w:val="32"/>
          <w:highlight w:val="none"/>
        </w:rPr>
      </w:pP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《农业建设项目投资估算内容与方法》（NY/T1716—2009）；</w:t>
      </w:r>
    </w:p>
    <w:p w14:paraId="3C14E78A">
      <w:pPr>
        <w:pageBreakBefore w:val="0"/>
        <w:kinsoku/>
        <w:overflowPunct/>
        <w:topLinePunct w:val="0"/>
        <w:autoSpaceDE/>
        <w:autoSpaceDN/>
        <w:bidi w:val="0"/>
        <w:adjustRightInd/>
        <w:snapToGrid/>
        <w:spacing w:line="590" w:lineRule="exact"/>
        <w:ind w:firstLine="640"/>
        <w:rPr>
          <w:rFonts w:hint="default" w:ascii="Times New Roman" w:hAnsi="Times New Roman" w:eastAsia="仿宋_GB2312" w:cs="Times New Roman"/>
          <w:color w:val="auto"/>
          <w:sz w:val="32"/>
          <w:highlight w:val="none"/>
        </w:rPr>
      </w:pP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专门机构发布的工程建设其他费用计算办法和费用标准，以及政府部门发布的物价指数；</w:t>
      </w:r>
    </w:p>
    <w:p w14:paraId="5162416B">
      <w:pPr>
        <w:pageBreakBefore w:val="0"/>
        <w:kinsoku/>
        <w:overflowPunct/>
        <w:topLinePunct w:val="0"/>
        <w:autoSpaceDE/>
        <w:autoSpaceDN/>
        <w:bidi w:val="0"/>
        <w:adjustRightInd/>
        <w:snapToGrid/>
        <w:spacing w:line="590" w:lineRule="exact"/>
        <w:ind w:firstLine="640"/>
        <w:rPr>
          <w:rFonts w:hint="default" w:ascii="Times New Roman" w:hAnsi="Times New Roman" w:eastAsia="仿宋_GB2312" w:cs="Times New Roman"/>
          <w:color w:val="auto"/>
          <w:sz w:val="32"/>
          <w:highlight w:val="none"/>
        </w:rPr>
      </w:pP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本地区材料、设备预算及市场价格和历年调价系数；</w:t>
      </w:r>
    </w:p>
    <w:p w14:paraId="4B72067D">
      <w:pPr>
        <w:pageBreakBefore w:val="0"/>
        <w:kinsoku/>
        <w:overflowPunct/>
        <w:topLinePunct w:val="0"/>
        <w:autoSpaceDE/>
        <w:autoSpaceDN/>
        <w:bidi w:val="0"/>
        <w:adjustRightInd/>
        <w:snapToGrid/>
        <w:spacing w:line="590" w:lineRule="exact"/>
        <w:ind w:firstLine="640"/>
        <w:rPr>
          <w:rFonts w:hint="default" w:ascii="Times New Roman" w:hAnsi="Times New Roman" w:eastAsia="仿宋_GB2312" w:cs="Times New Roman"/>
          <w:color w:val="auto"/>
          <w:sz w:val="32"/>
          <w:highlight w:val="none"/>
        </w:rPr>
      </w:pP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相关管理费、监理费、规费等；</w:t>
      </w:r>
    </w:p>
    <w:p w14:paraId="0E51EBD4">
      <w:pPr>
        <w:pageBreakBefore w:val="0"/>
        <w:kinsoku/>
        <w:overflowPunct/>
        <w:topLinePunct w:val="0"/>
        <w:autoSpaceDE/>
        <w:autoSpaceDN/>
        <w:bidi w:val="0"/>
        <w:adjustRightInd/>
        <w:snapToGrid/>
        <w:spacing w:line="590" w:lineRule="exact"/>
        <w:ind w:firstLine="640"/>
        <w:rPr>
          <w:rFonts w:hint="default" w:ascii="Times New Roman" w:hAnsi="Times New Roman" w:eastAsia="仿宋_GB2312" w:cs="Times New Roman"/>
          <w:color w:val="auto"/>
          <w:sz w:val="32"/>
          <w:highlight w:val="none"/>
        </w:rPr>
      </w:pP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其他同类项目的投资参考费率。</w:t>
      </w:r>
    </w:p>
    <w:p w14:paraId="04E6DD9C">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 w:val="32"/>
          <w:szCs w:val="32"/>
          <w:highlight w:val="none"/>
          <w:lang w:val="en-US" w:eastAsia="zh-CN"/>
        </w:rPr>
      </w:pPr>
      <w:bookmarkStart w:id="210" w:name="_Toc13838"/>
      <w:bookmarkStart w:id="211" w:name="_Toc12624"/>
      <w:bookmarkStart w:id="212" w:name="_Toc15320"/>
      <w:r>
        <w:rPr>
          <w:rFonts w:hint="default" w:ascii="Times New Roman" w:hAnsi="Times New Roman" w:cs="仿宋_GB2312"/>
          <w:color w:val="auto"/>
          <w:sz w:val="32"/>
          <w:szCs w:val="32"/>
          <w:highlight w:val="none"/>
          <w:lang w:val="en-US" w:eastAsia="zh-CN"/>
        </w:rPr>
        <w:t>2.投资估算</w:t>
      </w:r>
      <w:bookmarkEnd w:id="210"/>
      <w:bookmarkEnd w:id="211"/>
      <w:bookmarkEnd w:id="212"/>
    </w:p>
    <w:p w14:paraId="0AE2CD56">
      <w:pPr>
        <w:pageBreakBefore w:val="0"/>
        <w:kinsoku/>
        <w:overflowPunct/>
        <w:topLinePunct w:val="0"/>
        <w:autoSpaceDE/>
        <w:autoSpaceDN/>
        <w:bidi w:val="0"/>
        <w:adjustRightInd/>
        <w:snapToGrid/>
        <w:spacing w:line="590" w:lineRule="exact"/>
        <w:ind w:firstLine="64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32"/>
          <w:highlight w:val="none"/>
        </w:rPr>
        <w:t>按照广东省汕头市澄海区国家现代农业产业园功能定位和重点建设任务，对谋划的重点工程和示范项目进行投资测算。其中，建筑工程造价根据工程量及当地同类工程单位造价确定，仪器设备参考市场报价及国家现行投资估算的相关规定。广东省汕头市澄海区国家现代农业产业园</w:t>
      </w:r>
      <w:r>
        <w:rPr>
          <w:rFonts w:hint="eastAsia" w:ascii="Times New Roman" w:hAnsi="Times New Roman" w:cs="Times New Roman"/>
          <w:color w:val="auto"/>
          <w:sz w:val="32"/>
          <w:highlight w:val="none"/>
          <w:lang w:eastAsia="zh-CN"/>
        </w:rPr>
        <w:t>建设</w:t>
      </w:r>
      <w:r>
        <w:rPr>
          <w:rFonts w:hint="default" w:ascii="Times New Roman" w:hAnsi="Times New Roman" w:eastAsia="仿宋_GB2312" w:cs="Times New Roman"/>
          <w:color w:val="auto"/>
          <w:sz w:val="32"/>
          <w:highlight w:val="none"/>
        </w:rPr>
        <w:t>计划总投资</w:t>
      </w:r>
      <w:r>
        <w:rPr>
          <w:rFonts w:hint="eastAsia" w:ascii="Times New Roman" w:hAnsi="Times New Roman" w:cs="Times New Roman"/>
          <w:color w:val="auto"/>
          <w:sz w:val="32"/>
          <w:highlight w:val="none"/>
          <w:lang w:val="en-US" w:eastAsia="zh-CN"/>
        </w:rPr>
        <w:t>191352</w:t>
      </w:r>
      <w:r>
        <w:rPr>
          <w:rFonts w:hint="default" w:ascii="Times New Roman" w:hAnsi="Times New Roman" w:eastAsia="仿宋_GB2312" w:cs="Times New Roman"/>
          <w:color w:val="auto"/>
          <w:sz w:val="32"/>
          <w:highlight w:val="none"/>
        </w:rPr>
        <w:t>万元，其中，标准化狮头鹅养殖基地建设工程</w:t>
      </w:r>
      <w:r>
        <w:rPr>
          <w:rFonts w:hint="eastAsia" w:ascii="Times New Roman" w:hAnsi="Times New Roman" w:cs="Times New Roman"/>
          <w:color w:val="auto"/>
          <w:sz w:val="32"/>
          <w:highlight w:val="none"/>
          <w:lang w:val="en-US" w:eastAsia="zh-CN"/>
        </w:rPr>
        <w:t>投资21059</w:t>
      </w:r>
      <w:r>
        <w:rPr>
          <w:rFonts w:hint="default" w:ascii="Times New Roman" w:hAnsi="Times New Roman" w:eastAsia="仿宋_GB2312" w:cs="Times New Roman"/>
          <w:color w:val="auto"/>
          <w:sz w:val="32"/>
          <w:highlight w:val="none"/>
        </w:rPr>
        <w:t>万元，占总投资的</w:t>
      </w:r>
      <w:r>
        <w:rPr>
          <w:rFonts w:hint="eastAsia" w:ascii="Times New Roman" w:hAnsi="Times New Roman" w:cs="Times New Roman"/>
          <w:color w:val="auto"/>
          <w:sz w:val="32"/>
          <w:highlight w:val="none"/>
          <w:lang w:val="en-US" w:eastAsia="zh-CN"/>
        </w:rPr>
        <w:t>11.01</w:t>
      </w:r>
      <w:r>
        <w:rPr>
          <w:rFonts w:hint="default" w:ascii="Times New Roman" w:hAnsi="Times New Roman" w:eastAsia="仿宋_GB2312" w:cs="Times New Roman"/>
          <w:color w:val="auto"/>
          <w:sz w:val="32"/>
          <w:highlight w:val="none"/>
        </w:rPr>
        <w:t>%；狮头鹅加工冷链提升工程</w:t>
      </w:r>
      <w:r>
        <w:rPr>
          <w:rFonts w:hint="eastAsia" w:ascii="Times New Roman" w:hAnsi="Times New Roman" w:cs="Times New Roman"/>
          <w:color w:val="auto"/>
          <w:sz w:val="32"/>
          <w:highlight w:val="none"/>
          <w:lang w:val="en-US" w:eastAsia="zh-CN"/>
        </w:rPr>
        <w:t>投资13560</w:t>
      </w:r>
      <w:r>
        <w:rPr>
          <w:rFonts w:hint="default" w:ascii="Times New Roman" w:hAnsi="Times New Roman" w:eastAsia="仿宋_GB2312" w:cs="Times New Roman"/>
          <w:color w:val="auto"/>
          <w:sz w:val="32"/>
          <w:highlight w:val="none"/>
        </w:rPr>
        <w:t>万元，占总投资的</w:t>
      </w:r>
      <w:r>
        <w:rPr>
          <w:rFonts w:hint="eastAsia" w:ascii="Times New Roman" w:hAnsi="Times New Roman" w:cs="Times New Roman"/>
          <w:color w:val="auto"/>
          <w:sz w:val="32"/>
          <w:highlight w:val="none"/>
          <w:lang w:val="en-US" w:eastAsia="zh-CN"/>
        </w:rPr>
        <w:t>7.09</w:t>
      </w:r>
      <w:r>
        <w:rPr>
          <w:rFonts w:hint="default" w:ascii="Times New Roman" w:hAnsi="Times New Roman" w:eastAsia="仿宋_GB2312" w:cs="Times New Roman"/>
          <w:color w:val="auto"/>
          <w:sz w:val="32"/>
          <w:highlight w:val="none"/>
        </w:rPr>
        <w:t>%；狮头鹅产业服务提升工程</w:t>
      </w:r>
      <w:r>
        <w:rPr>
          <w:rFonts w:hint="eastAsia" w:ascii="Times New Roman" w:hAnsi="Times New Roman" w:cs="Times New Roman"/>
          <w:color w:val="auto"/>
          <w:sz w:val="32"/>
          <w:highlight w:val="none"/>
          <w:lang w:val="en-US" w:eastAsia="zh-CN"/>
        </w:rPr>
        <w:t>投资1340</w:t>
      </w:r>
      <w:r>
        <w:rPr>
          <w:rFonts w:hint="default" w:ascii="Times New Roman" w:hAnsi="Times New Roman" w:eastAsia="仿宋_GB2312" w:cs="Times New Roman"/>
          <w:color w:val="auto"/>
          <w:sz w:val="32"/>
          <w:highlight w:val="none"/>
        </w:rPr>
        <w:t>万元，占总投资的</w:t>
      </w:r>
      <w:r>
        <w:rPr>
          <w:rFonts w:hint="eastAsia" w:ascii="Times New Roman" w:hAnsi="Times New Roman" w:cs="Times New Roman"/>
          <w:color w:val="auto"/>
          <w:sz w:val="32"/>
          <w:highlight w:val="none"/>
          <w:lang w:val="en-US" w:eastAsia="zh-CN"/>
        </w:rPr>
        <w:t>0.7</w:t>
      </w:r>
      <w:r>
        <w:rPr>
          <w:rFonts w:hint="default" w:ascii="Times New Roman" w:hAnsi="Times New Roman" w:eastAsia="仿宋_GB2312" w:cs="Times New Roman"/>
          <w:color w:val="auto"/>
          <w:sz w:val="32"/>
          <w:highlight w:val="none"/>
        </w:rPr>
        <w:t>%；产业兴旺助力乡村振兴工程投资</w:t>
      </w:r>
      <w:r>
        <w:rPr>
          <w:rFonts w:hint="eastAsia" w:ascii="Times New Roman" w:hAnsi="Times New Roman" w:cs="Times New Roman"/>
          <w:color w:val="auto"/>
          <w:sz w:val="32"/>
          <w:highlight w:val="none"/>
          <w:lang w:val="en-US" w:eastAsia="zh-CN"/>
        </w:rPr>
        <w:t>155393</w:t>
      </w:r>
      <w:r>
        <w:rPr>
          <w:rFonts w:hint="default" w:ascii="Times New Roman" w:hAnsi="Times New Roman" w:eastAsia="仿宋_GB2312" w:cs="Times New Roman"/>
          <w:color w:val="auto"/>
          <w:sz w:val="32"/>
          <w:highlight w:val="none"/>
        </w:rPr>
        <w:t>万元，占总投资的</w:t>
      </w:r>
      <w:r>
        <w:rPr>
          <w:rFonts w:hint="eastAsia" w:ascii="Times New Roman" w:hAnsi="Times New Roman" w:cs="Times New Roman"/>
          <w:color w:val="auto"/>
          <w:sz w:val="32"/>
          <w:highlight w:val="none"/>
          <w:lang w:val="en-US" w:eastAsia="zh-CN"/>
        </w:rPr>
        <w:t>81.2</w:t>
      </w:r>
      <w:r>
        <w:rPr>
          <w:rFonts w:hint="default" w:ascii="Times New Roman" w:hAnsi="Times New Roman" w:eastAsia="仿宋_GB2312" w:cs="Times New Roman"/>
          <w:color w:val="auto"/>
          <w:sz w:val="32"/>
          <w:highlight w:val="none"/>
        </w:rPr>
        <w:t>%，具体投资内容及金额见下表</w:t>
      </w:r>
      <w:r>
        <w:rPr>
          <w:rFonts w:hint="default" w:ascii="Times New Roman" w:hAnsi="Times New Roman" w:eastAsia="仿宋_GB2312" w:cs="Times New Roman"/>
          <w:color w:val="auto"/>
          <w:highlight w:val="none"/>
        </w:rPr>
        <w:t>。</w:t>
      </w:r>
    </w:p>
    <w:p w14:paraId="453FDCA3">
      <w:pPr>
        <w:keepNext w:val="0"/>
        <w:keepLines w:val="0"/>
        <w:pageBreakBefore w:val="0"/>
        <w:widowControl/>
        <w:suppressLineNumbers w:val="0"/>
        <w:kinsoku/>
        <w:wordWrap/>
        <w:overflowPunct/>
        <w:topLinePunct w:val="0"/>
        <w:autoSpaceDE/>
        <w:autoSpaceDN/>
        <w:bidi w:val="0"/>
        <w:adjustRightInd/>
        <w:snapToGrid/>
        <w:spacing w:line="590" w:lineRule="exact"/>
        <w:ind w:left="0" w:leftChars="0" w:firstLine="0" w:firstLineChars="0"/>
        <w:jc w:val="center"/>
        <w:textAlignment w:val="center"/>
        <w:rPr>
          <w:rFonts w:hint="eastAsia" w:ascii="Times New Roman" w:hAnsi="Times New Roman" w:eastAsia="黑体" w:cs="Times New Roman"/>
          <w:b w:val="0"/>
          <w:bCs w:val="0"/>
          <w:color w:val="auto"/>
          <w:sz w:val="28"/>
          <w:szCs w:val="28"/>
          <w:highlight w:val="none"/>
          <w:lang w:val="en-US" w:eastAsia="zh-CN"/>
        </w:rPr>
      </w:pPr>
      <w:r>
        <w:rPr>
          <w:rFonts w:hint="eastAsia" w:ascii="Times New Roman" w:hAnsi="Times New Roman" w:eastAsia="黑体" w:cs="Times New Roman"/>
          <w:b w:val="0"/>
          <w:bCs w:val="0"/>
          <w:color w:val="auto"/>
          <w:sz w:val="28"/>
          <w:szCs w:val="28"/>
          <w:highlight w:val="none"/>
          <w:lang w:val="en-US" w:eastAsia="zh-CN"/>
        </w:rPr>
        <w:t>广东省汕头市澄海区国家现代农业产业园建设投资估算表</w:t>
      </w:r>
    </w:p>
    <w:tbl>
      <w:tblPr>
        <w:tblStyle w:val="2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5"/>
        <w:gridCol w:w="5461"/>
        <w:gridCol w:w="1094"/>
        <w:gridCol w:w="1312"/>
      </w:tblGrid>
      <w:tr w14:paraId="40F37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9"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5452873">
            <w:pPr>
              <w:keepNext w:val="0"/>
              <w:keepLines w:val="0"/>
              <w:widowControl/>
              <w:suppressLineNumbers w:val="0"/>
              <w:spacing w:line="300" w:lineRule="exact"/>
              <w:ind w:firstLine="0" w:firstLineChars="0"/>
              <w:jc w:val="center"/>
              <w:textAlignment w:val="center"/>
              <w:rPr>
                <w:rFonts w:ascii="Times New Roman" w:hAnsi="Times New Roman" w:eastAsia="黑体" w:cs="黑体"/>
                <w:b/>
                <w:bCs/>
                <w:i w:val="0"/>
                <w:iCs w:val="0"/>
                <w:color w:val="auto"/>
                <w:sz w:val="24"/>
                <w:szCs w:val="24"/>
                <w:highlight w:val="none"/>
                <w:u w:val="none"/>
              </w:rPr>
            </w:pPr>
            <w:r>
              <w:rPr>
                <w:rFonts w:hint="eastAsia" w:ascii="Times New Roman" w:hAnsi="Times New Roman" w:eastAsia="黑体" w:cs="黑体"/>
                <w:b/>
                <w:bCs/>
                <w:i w:val="0"/>
                <w:iCs w:val="0"/>
                <w:color w:val="auto"/>
                <w:kern w:val="0"/>
                <w:sz w:val="24"/>
                <w:szCs w:val="24"/>
                <w:highlight w:val="none"/>
                <w:u w:val="none"/>
                <w:lang w:val="en-US" w:eastAsia="zh-CN" w:bidi="ar"/>
              </w:rPr>
              <w:t>序号</w:t>
            </w:r>
          </w:p>
        </w:tc>
        <w:tc>
          <w:tcPr>
            <w:tcW w:w="2647" w:type="pct"/>
            <w:vMerge w:val="restart"/>
            <w:tcBorders>
              <w:top w:val="single" w:color="000000" w:sz="8" w:space="0"/>
              <w:left w:val="nil"/>
              <w:bottom w:val="single" w:color="000000" w:sz="8" w:space="0"/>
              <w:right w:val="single" w:color="000000" w:sz="8" w:space="0"/>
            </w:tcBorders>
            <w:shd w:val="clear" w:color="auto" w:fill="auto"/>
            <w:noWrap/>
            <w:vAlign w:val="center"/>
          </w:tcPr>
          <w:p w14:paraId="5E7E1962">
            <w:pPr>
              <w:keepNext w:val="0"/>
              <w:keepLines w:val="0"/>
              <w:widowControl/>
              <w:suppressLineNumbers w:val="0"/>
              <w:spacing w:line="300" w:lineRule="exact"/>
              <w:ind w:firstLine="0" w:firstLineChars="0"/>
              <w:jc w:val="center"/>
              <w:textAlignment w:val="center"/>
              <w:rPr>
                <w:rFonts w:hint="eastAsia" w:ascii="Times New Roman" w:hAnsi="Times New Roman" w:eastAsia="黑体" w:cs="黑体"/>
                <w:b/>
                <w:bCs/>
                <w:i w:val="0"/>
                <w:iCs w:val="0"/>
                <w:color w:val="auto"/>
                <w:sz w:val="24"/>
                <w:szCs w:val="24"/>
                <w:highlight w:val="none"/>
                <w:u w:val="none"/>
              </w:rPr>
            </w:pPr>
            <w:r>
              <w:rPr>
                <w:rFonts w:hint="eastAsia" w:ascii="Times New Roman" w:hAnsi="Times New Roman" w:eastAsia="黑体" w:cs="黑体"/>
                <w:b/>
                <w:bCs/>
                <w:i w:val="0"/>
                <w:iCs w:val="0"/>
                <w:color w:val="auto"/>
                <w:kern w:val="0"/>
                <w:sz w:val="24"/>
                <w:szCs w:val="24"/>
                <w:highlight w:val="none"/>
                <w:u w:val="none"/>
                <w:lang w:val="en-US" w:eastAsia="zh-CN" w:bidi="ar"/>
              </w:rPr>
              <w:t>项目名称</w:t>
            </w:r>
          </w:p>
        </w:tc>
        <w:tc>
          <w:tcPr>
            <w:tcW w:w="875" w:type="pct"/>
            <w:tcBorders>
              <w:top w:val="single" w:color="000000" w:sz="8" w:space="0"/>
              <w:left w:val="nil"/>
              <w:bottom w:val="nil"/>
              <w:right w:val="single" w:color="000000" w:sz="8" w:space="0"/>
            </w:tcBorders>
            <w:shd w:val="clear" w:color="auto" w:fill="auto"/>
            <w:noWrap/>
            <w:vAlign w:val="center"/>
          </w:tcPr>
          <w:p w14:paraId="693CE758">
            <w:pPr>
              <w:keepNext w:val="0"/>
              <w:keepLines w:val="0"/>
              <w:widowControl/>
              <w:suppressLineNumbers w:val="0"/>
              <w:spacing w:line="300" w:lineRule="exact"/>
              <w:ind w:firstLine="0" w:firstLineChars="0"/>
              <w:jc w:val="center"/>
              <w:textAlignment w:val="center"/>
              <w:rPr>
                <w:rFonts w:hint="eastAsia" w:ascii="Times New Roman" w:hAnsi="Times New Roman" w:eastAsia="黑体" w:cs="黑体"/>
                <w:b/>
                <w:bCs/>
                <w:i w:val="0"/>
                <w:iCs w:val="0"/>
                <w:color w:val="auto"/>
                <w:sz w:val="24"/>
                <w:szCs w:val="24"/>
                <w:highlight w:val="none"/>
                <w:u w:val="none"/>
              </w:rPr>
            </w:pPr>
            <w:r>
              <w:rPr>
                <w:rFonts w:hint="eastAsia" w:ascii="Times New Roman" w:hAnsi="Times New Roman" w:eastAsia="黑体" w:cs="黑体"/>
                <w:b/>
                <w:bCs/>
                <w:i w:val="0"/>
                <w:iCs w:val="0"/>
                <w:color w:val="auto"/>
                <w:kern w:val="0"/>
                <w:sz w:val="24"/>
                <w:szCs w:val="24"/>
                <w:highlight w:val="none"/>
                <w:u w:val="none"/>
                <w:lang w:val="en-US" w:eastAsia="zh-CN" w:bidi="ar"/>
              </w:rPr>
              <w:t>投资估算</w:t>
            </w:r>
          </w:p>
        </w:tc>
        <w:tc>
          <w:tcPr>
            <w:tcW w:w="948" w:type="pct"/>
            <w:vMerge w:val="restart"/>
            <w:tcBorders>
              <w:top w:val="single" w:color="000000" w:sz="8" w:space="0"/>
              <w:left w:val="nil"/>
              <w:bottom w:val="single" w:color="000000" w:sz="8" w:space="0"/>
              <w:right w:val="single" w:color="000000" w:sz="8" w:space="0"/>
            </w:tcBorders>
            <w:shd w:val="clear" w:color="auto" w:fill="auto"/>
            <w:noWrap/>
            <w:vAlign w:val="center"/>
          </w:tcPr>
          <w:p w14:paraId="3415A750">
            <w:pPr>
              <w:keepNext w:val="0"/>
              <w:keepLines w:val="0"/>
              <w:widowControl/>
              <w:suppressLineNumbers w:val="0"/>
              <w:spacing w:line="300" w:lineRule="exact"/>
              <w:ind w:firstLine="0" w:firstLineChars="0"/>
              <w:jc w:val="center"/>
              <w:textAlignment w:val="center"/>
              <w:rPr>
                <w:rFonts w:hint="eastAsia" w:ascii="Times New Roman" w:hAnsi="Times New Roman" w:eastAsia="黑体" w:cs="黑体"/>
                <w:b/>
                <w:bCs/>
                <w:i w:val="0"/>
                <w:iCs w:val="0"/>
                <w:color w:val="auto"/>
                <w:sz w:val="24"/>
                <w:szCs w:val="24"/>
                <w:highlight w:val="none"/>
                <w:u w:val="none"/>
              </w:rPr>
            </w:pPr>
            <w:r>
              <w:rPr>
                <w:rFonts w:hint="eastAsia" w:ascii="Times New Roman" w:hAnsi="Times New Roman" w:eastAsia="黑体" w:cs="黑体"/>
                <w:b/>
                <w:bCs/>
                <w:i w:val="0"/>
                <w:iCs w:val="0"/>
                <w:color w:val="auto"/>
                <w:kern w:val="0"/>
                <w:sz w:val="24"/>
                <w:szCs w:val="24"/>
                <w:highlight w:val="none"/>
                <w:u w:val="none"/>
                <w:lang w:val="en-US" w:eastAsia="zh-CN" w:bidi="ar"/>
              </w:rPr>
              <w:t>占比（</w:t>
            </w:r>
            <w:r>
              <w:rPr>
                <w:rFonts w:hint="default" w:ascii="Times New Roman" w:hAnsi="Times New Roman" w:eastAsia="黑体" w:cs="Times New Roman"/>
                <w:b/>
                <w:bCs/>
                <w:i w:val="0"/>
                <w:iCs w:val="0"/>
                <w:color w:val="auto"/>
                <w:kern w:val="0"/>
                <w:sz w:val="24"/>
                <w:szCs w:val="24"/>
                <w:highlight w:val="none"/>
                <w:u w:val="none"/>
                <w:lang w:val="en-US" w:eastAsia="zh-CN" w:bidi="ar"/>
              </w:rPr>
              <w:t>%</w:t>
            </w:r>
            <w:r>
              <w:rPr>
                <w:rFonts w:hint="eastAsia" w:ascii="Times New Roman" w:hAnsi="Times New Roman" w:eastAsia="黑体" w:cs="黑体"/>
                <w:b/>
                <w:bCs/>
                <w:i w:val="0"/>
                <w:iCs w:val="0"/>
                <w:color w:val="auto"/>
                <w:kern w:val="0"/>
                <w:sz w:val="24"/>
                <w:szCs w:val="24"/>
                <w:highlight w:val="none"/>
                <w:u w:val="none"/>
                <w:lang w:val="en-US" w:eastAsia="zh-CN" w:bidi="ar"/>
              </w:rPr>
              <w:t>）</w:t>
            </w:r>
          </w:p>
        </w:tc>
      </w:tr>
      <w:tr w14:paraId="2F29E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529"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1F6D12BD">
            <w:pPr>
              <w:spacing w:line="300" w:lineRule="exact"/>
              <w:jc w:val="center"/>
              <w:rPr>
                <w:rFonts w:hint="eastAsia" w:ascii="Times New Roman" w:hAnsi="Times New Roman" w:eastAsia="黑体" w:cs="黑体"/>
                <w:b/>
                <w:bCs/>
                <w:i w:val="0"/>
                <w:iCs w:val="0"/>
                <w:color w:val="auto"/>
                <w:sz w:val="24"/>
                <w:szCs w:val="24"/>
                <w:highlight w:val="none"/>
                <w:u w:val="none"/>
              </w:rPr>
            </w:pPr>
          </w:p>
        </w:tc>
        <w:tc>
          <w:tcPr>
            <w:tcW w:w="2647" w:type="pct"/>
            <w:vMerge w:val="continue"/>
            <w:tcBorders>
              <w:top w:val="single" w:color="000000" w:sz="8" w:space="0"/>
              <w:left w:val="nil"/>
              <w:bottom w:val="single" w:color="000000" w:sz="8" w:space="0"/>
              <w:right w:val="single" w:color="000000" w:sz="8" w:space="0"/>
            </w:tcBorders>
            <w:shd w:val="clear" w:color="auto" w:fill="auto"/>
            <w:noWrap/>
            <w:vAlign w:val="center"/>
          </w:tcPr>
          <w:p w14:paraId="7F2EDD79">
            <w:pPr>
              <w:spacing w:line="300" w:lineRule="exact"/>
              <w:jc w:val="center"/>
              <w:rPr>
                <w:rFonts w:hint="eastAsia" w:ascii="Times New Roman" w:hAnsi="Times New Roman" w:eastAsia="黑体" w:cs="黑体"/>
                <w:b/>
                <w:bCs/>
                <w:i w:val="0"/>
                <w:iCs w:val="0"/>
                <w:color w:val="auto"/>
                <w:sz w:val="24"/>
                <w:szCs w:val="24"/>
                <w:highlight w:val="none"/>
                <w:u w:val="none"/>
              </w:rPr>
            </w:pPr>
          </w:p>
        </w:tc>
        <w:tc>
          <w:tcPr>
            <w:tcW w:w="875" w:type="pct"/>
            <w:tcBorders>
              <w:top w:val="nil"/>
              <w:left w:val="nil"/>
              <w:bottom w:val="single" w:color="000000" w:sz="8" w:space="0"/>
              <w:right w:val="single" w:color="000000" w:sz="8" w:space="0"/>
            </w:tcBorders>
            <w:shd w:val="clear" w:color="auto" w:fill="auto"/>
            <w:noWrap/>
            <w:vAlign w:val="center"/>
          </w:tcPr>
          <w:p w14:paraId="60FB2A75">
            <w:pPr>
              <w:keepNext w:val="0"/>
              <w:keepLines w:val="0"/>
              <w:widowControl/>
              <w:suppressLineNumbers w:val="0"/>
              <w:spacing w:line="300" w:lineRule="exact"/>
              <w:ind w:firstLine="0" w:firstLineChars="0"/>
              <w:jc w:val="center"/>
              <w:textAlignment w:val="center"/>
              <w:rPr>
                <w:rFonts w:hint="eastAsia" w:ascii="Times New Roman" w:hAnsi="Times New Roman" w:eastAsia="黑体" w:cs="黑体"/>
                <w:b/>
                <w:bCs/>
                <w:i w:val="0"/>
                <w:iCs w:val="0"/>
                <w:color w:val="auto"/>
                <w:sz w:val="24"/>
                <w:szCs w:val="24"/>
                <w:highlight w:val="none"/>
                <w:u w:val="none"/>
              </w:rPr>
            </w:pPr>
            <w:r>
              <w:rPr>
                <w:rFonts w:hint="eastAsia" w:ascii="Times New Roman" w:hAnsi="Times New Roman" w:eastAsia="黑体" w:cs="黑体"/>
                <w:b/>
                <w:bCs/>
                <w:i w:val="0"/>
                <w:iCs w:val="0"/>
                <w:color w:val="auto"/>
                <w:kern w:val="0"/>
                <w:sz w:val="24"/>
                <w:szCs w:val="24"/>
                <w:highlight w:val="none"/>
                <w:u w:val="none"/>
                <w:lang w:val="en-US" w:eastAsia="zh-CN" w:bidi="ar"/>
              </w:rPr>
              <w:t>（万元）</w:t>
            </w:r>
          </w:p>
        </w:tc>
        <w:tc>
          <w:tcPr>
            <w:tcW w:w="948" w:type="pct"/>
            <w:vMerge w:val="continue"/>
            <w:tcBorders>
              <w:top w:val="single" w:color="000000" w:sz="8" w:space="0"/>
              <w:left w:val="nil"/>
              <w:bottom w:val="single" w:color="000000" w:sz="8" w:space="0"/>
              <w:right w:val="single" w:color="000000" w:sz="8" w:space="0"/>
            </w:tcBorders>
            <w:shd w:val="clear" w:color="auto" w:fill="auto"/>
            <w:noWrap/>
            <w:vAlign w:val="center"/>
          </w:tcPr>
          <w:p w14:paraId="0A7418DC">
            <w:pPr>
              <w:spacing w:line="300" w:lineRule="exact"/>
              <w:jc w:val="center"/>
              <w:rPr>
                <w:rFonts w:hint="eastAsia" w:ascii="Times New Roman" w:hAnsi="Times New Roman" w:eastAsia="黑体" w:cs="黑体"/>
                <w:b/>
                <w:bCs/>
                <w:i w:val="0"/>
                <w:iCs w:val="0"/>
                <w:color w:val="auto"/>
                <w:sz w:val="24"/>
                <w:szCs w:val="24"/>
                <w:highlight w:val="none"/>
                <w:u w:val="none"/>
              </w:rPr>
            </w:pPr>
          </w:p>
        </w:tc>
      </w:tr>
      <w:tr w14:paraId="2B93C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3176" w:type="pct"/>
            <w:gridSpan w:val="2"/>
            <w:tcBorders>
              <w:top w:val="nil"/>
              <w:left w:val="single" w:color="000000" w:sz="8" w:space="0"/>
              <w:bottom w:val="single" w:color="000000" w:sz="8" w:space="0"/>
              <w:right w:val="single" w:color="000000" w:sz="8" w:space="0"/>
            </w:tcBorders>
            <w:shd w:val="clear" w:color="auto" w:fill="auto"/>
            <w:noWrap/>
            <w:vAlign w:val="center"/>
          </w:tcPr>
          <w:p w14:paraId="413F77C0">
            <w:pPr>
              <w:keepNext w:val="0"/>
              <w:keepLines w:val="0"/>
              <w:widowControl/>
              <w:suppressLineNumbers w:val="0"/>
              <w:spacing w:line="300" w:lineRule="exact"/>
              <w:ind w:firstLine="0" w:firstLineChars="0"/>
              <w:jc w:val="left"/>
              <w:textAlignment w:val="center"/>
              <w:rPr>
                <w:rFonts w:hint="eastAsia" w:ascii="Times New Roman" w:hAnsi="Times New Roman" w:eastAsia="黑体" w:cs="黑体"/>
                <w:b/>
                <w:bCs/>
                <w:i w:val="0"/>
                <w:iCs w:val="0"/>
                <w:color w:val="auto"/>
                <w:sz w:val="24"/>
                <w:szCs w:val="24"/>
                <w:highlight w:val="none"/>
                <w:u w:val="none"/>
              </w:rPr>
            </w:pPr>
            <w:r>
              <w:rPr>
                <w:rFonts w:hint="eastAsia" w:ascii="Times New Roman" w:hAnsi="Times New Roman" w:eastAsia="黑体" w:cs="黑体"/>
                <w:b/>
                <w:bCs/>
                <w:i w:val="0"/>
                <w:iCs w:val="0"/>
                <w:color w:val="auto"/>
                <w:kern w:val="0"/>
                <w:sz w:val="24"/>
                <w:szCs w:val="24"/>
                <w:highlight w:val="none"/>
                <w:u w:val="none"/>
                <w:lang w:val="en-US" w:eastAsia="zh-CN" w:bidi="ar"/>
              </w:rPr>
              <w:t>一、标准化狮头鹅养殖基地建设工程</w:t>
            </w:r>
          </w:p>
        </w:tc>
        <w:tc>
          <w:tcPr>
            <w:tcW w:w="875" w:type="pct"/>
            <w:tcBorders>
              <w:top w:val="nil"/>
              <w:left w:val="nil"/>
              <w:bottom w:val="single" w:color="000000" w:sz="8" w:space="0"/>
              <w:right w:val="single" w:color="000000" w:sz="8" w:space="0"/>
            </w:tcBorders>
            <w:shd w:val="clear" w:color="auto" w:fill="auto"/>
            <w:noWrap/>
            <w:vAlign w:val="center"/>
          </w:tcPr>
          <w:p w14:paraId="29FE1011">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highlight w:val="none"/>
                <w:u w:val="none"/>
              </w:rPr>
            </w:pPr>
            <w:r>
              <w:rPr>
                <w:rFonts w:hint="default" w:ascii="Times New Roman" w:hAnsi="Times New Roman" w:eastAsia="宋体" w:cs="Times New Roman"/>
                <w:b/>
                <w:bCs/>
                <w:i w:val="0"/>
                <w:iCs w:val="0"/>
                <w:color w:val="auto"/>
                <w:kern w:val="0"/>
                <w:sz w:val="24"/>
                <w:szCs w:val="24"/>
                <w:highlight w:val="none"/>
                <w:u w:val="none"/>
                <w:lang w:val="en-US" w:eastAsia="zh-CN" w:bidi="ar"/>
              </w:rPr>
              <w:t>21059</w:t>
            </w:r>
          </w:p>
        </w:tc>
        <w:tc>
          <w:tcPr>
            <w:tcW w:w="948" w:type="pct"/>
            <w:tcBorders>
              <w:top w:val="nil"/>
              <w:left w:val="nil"/>
              <w:bottom w:val="single" w:color="000000" w:sz="8" w:space="0"/>
              <w:right w:val="single" w:color="000000" w:sz="8" w:space="0"/>
            </w:tcBorders>
            <w:shd w:val="clear" w:color="auto" w:fill="auto"/>
            <w:noWrap/>
            <w:vAlign w:val="center"/>
          </w:tcPr>
          <w:p w14:paraId="7B71B8CB">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highlight w:val="none"/>
                <w:u w:val="none"/>
              </w:rPr>
            </w:pPr>
            <w:r>
              <w:rPr>
                <w:rFonts w:hint="default" w:ascii="Times New Roman" w:hAnsi="Times New Roman" w:eastAsia="宋体" w:cs="Times New Roman"/>
                <w:b/>
                <w:bCs/>
                <w:i w:val="0"/>
                <w:iCs w:val="0"/>
                <w:color w:val="auto"/>
                <w:kern w:val="0"/>
                <w:sz w:val="24"/>
                <w:szCs w:val="24"/>
                <w:highlight w:val="none"/>
                <w:u w:val="none"/>
                <w:lang w:val="en-US" w:eastAsia="zh-CN" w:bidi="ar"/>
              </w:rPr>
              <w:t>11.01</w:t>
            </w:r>
          </w:p>
        </w:tc>
      </w:tr>
      <w:tr w14:paraId="5A5CB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529" w:type="pct"/>
            <w:tcBorders>
              <w:top w:val="nil"/>
              <w:left w:val="single" w:color="000000" w:sz="8" w:space="0"/>
              <w:bottom w:val="single" w:color="000000" w:sz="8" w:space="0"/>
              <w:right w:val="single" w:color="000000" w:sz="8" w:space="0"/>
            </w:tcBorders>
            <w:shd w:val="clear" w:color="auto" w:fill="auto"/>
            <w:noWrap/>
            <w:vAlign w:val="center"/>
          </w:tcPr>
          <w:p w14:paraId="1829330A">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2647" w:type="pct"/>
            <w:tcBorders>
              <w:top w:val="nil"/>
              <w:left w:val="nil"/>
              <w:bottom w:val="single" w:color="000000" w:sz="8" w:space="0"/>
              <w:right w:val="single" w:color="000000" w:sz="8" w:space="0"/>
            </w:tcBorders>
            <w:shd w:val="clear" w:color="auto" w:fill="auto"/>
            <w:noWrap/>
            <w:vAlign w:val="center"/>
          </w:tcPr>
          <w:p w14:paraId="5033E15B">
            <w:pPr>
              <w:keepNext w:val="0"/>
              <w:keepLines w:val="0"/>
              <w:widowControl/>
              <w:suppressLineNumbers w:val="0"/>
              <w:spacing w:line="300" w:lineRule="exact"/>
              <w:ind w:firstLine="0" w:firstLineChars="0"/>
              <w:jc w:val="left"/>
              <w:textAlignment w:val="center"/>
              <w:rPr>
                <w:rFonts w:ascii="Times New Roman" w:hAnsi="Times New Roman" w:eastAsia="仿宋_GB2312" w:cs="仿宋_GB2312"/>
                <w:i w:val="0"/>
                <w:iCs w:val="0"/>
                <w:color w:val="auto"/>
                <w:sz w:val="24"/>
                <w:szCs w:val="24"/>
                <w:highlight w:val="none"/>
                <w:u w:val="none"/>
              </w:rPr>
            </w:pPr>
            <w:r>
              <w:rPr>
                <w:rFonts w:hint="eastAsia" w:ascii="Times New Roman" w:hAnsi="Times New Roman" w:eastAsia="仿宋_GB2312" w:cs="仿宋_GB2312"/>
                <w:i w:val="0"/>
                <w:iCs w:val="0"/>
                <w:color w:val="auto"/>
                <w:kern w:val="0"/>
                <w:sz w:val="24"/>
                <w:szCs w:val="24"/>
                <w:highlight w:val="none"/>
                <w:u w:val="none"/>
                <w:lang w:val="en-US" w:eastAsia="zh-CN" w:bidi="ar"/>
              </w:rPr>
              <w:t>种鹅标准化育种基地建设</w:t>
            </w:r>
          </w:p>
        </w:tc>
        <w:tc>
          <w:tcPr>
            <w:tcW w:w="875" w:type="pct"/>
            <w:tcBorders>
              <w:top w:val="nil"/>
              <w:left w:val="nil"/>
              <w:bottom w:val="single" w:color="000000" w:sz="8" w:space="0"/>
              <w:right w:val="single" w:color="000000" w:sz="8" w:space="0"/>
            </w:tcBorders>
            <w:shd w:val="clear" w:color="auto" w:fill="auto"/>
            <w:noWrap/>
            <w:vAlign w:val="center"/>
          </w:tcPr>
          <w:p w14:paraId="68C1DB4C">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11032</w:t>
            </w:r>
          </w:p>
        </w:tc>
        <w:tc>
          <w:tcPr>
            <w:tcW w:w="948" w:type="pct"/>
            <w:tcBorders>
              <w:top w:val="single" w:color="000000" w:sz="8" w:space="0"/>
              <w:left w:val="nil"/>
              <w:bottom w:val="single" w:color="000000" w:sz="8" w:space="0"/>
              <w:right w:val="single" w:color="000000" w:sz="8" w:space="0"/>
            </w:tcBorders>
            <w:shd w:val="clear" w:color="auto" w:fill="auto"/>
            <w:noWrap/>
            <w:vAlign w:val="center"/>
          </w:tcPr>
          <w:p w14:paraId="30C1C058">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5.77</w:t>
            </w:r>
          </w:p>
        </w:tc>
      </w:tr>
      <w:tr w14:paraId="601ED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529" w:type="pct"/>
            <w:tcBorders>
              <w:top w:val="nil"/>
              <w:left w:val="single" w:color="000000" w:sz="8" w:space="0"/>
              <w:bottom w:val="single" w:color="000000" w:sz="8" w:space="0"/>
              <w:right w:val="single" w:color="000000" w:sz="8" w:space="0"/>
            </w:tcBorders>
            <w:shd w:val="clear" w:color="auto" w:fill="auto"/>
            <w:noWrap/>
            <w:vAlign w:val="center"/>
          </w:tcPr>
          <w:p w14:paraId="22BF2231">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w:t>
            </w:r>
          </w:p>
        </w:tc>
        <w:tc>
          <w:tcPr>
            <w:tcW w:w="2647" w:type="pct"/>
            <w:tcBorders>
              <w:top w:val="nil"/>
              <w:left w:val="nil"/>
              <w:bottom w:val="single" w:color="000000" w:sz="8" w:space="0"/>
              <w:right w:val="single" w:color="000000" w:sz="8" w:space="0"/>
            </w:tcBorders>
            <w:shd w:val="clear" w:color="auto" w:fill="auto"/>
            <w:noWrap/>
            <w:vAlign w:val="center"/>
          </w:tcPr>
          <w:p w14:paraId="3AFC45BB">
            <w:pPr>
              <w:keepNext w:val="0"/>
              <w:keepLines w:val="0"/>
              <w:widowControl/>
              <w:suppressLineNumbers w:val="0"/>
              <w:spacing w:line="300" w:lineRule="exact"/>
              <w:ind w:firstLine="0" w:firstLineChars="0"/>
              <w:jc w:val="left"/>
              <w:textAlignment w:val="center"/>
              <w:rPr>
                <w:rFonts w:hint="eastAsia" w:ascii="Times New Roman" w:hAnsi="Times New Roman" w:eastAsia="仿宋_GB2312" w:cs="仿宋_GB2312"/>
                <w:i w:val="0"/>
                <w:iCs w:val="0"/>
                <w:color w:val="auto"/>
                <w:sz w:val="24"/>
                <w:szCs w:val="24"/>
                <w:highlight w:val="none"/>
                <w:u w:val="none"/>
              </w:rPr>
            </w:pPr>
            <w:r>
              <w:rPr>
                <w:rFonts w:hint="eastAsia" w:ascii="Times New Roman" w:hAnsi="Times New Roman" w:eastAsia="仿宋_GB2312" w:cs="仿宋_GB2312"/>
                <w:i w:val="0"/>
                <w:iCs w:val="0"/>
                <w:color w:val="auto"/>
                <w:kern w:val="0"/>
                <w:sz w:val="24"/>
                <w:szCs w:val="24"/>
                <w:highlight w:val="none"/>
                <w:u w:val="none"/>
                <w:lang w:val="en-US" w:eastAsia="zh-CN" w:bidi="ar"/>
              </w:rPr>
              <w:t>肉鹅标准化养殖基地建设</w:t>
            </w:r>
          </w:p>
        </w:tc>
        <w:tc>
          <w:tcPr>
            <w:tcW w:w="875" w:type="pct"/>
            <w:tcBorders>
              <w:top w:val="nil"/>
              <w:left w:val="nil"/>
              <w:bottom w:val="single" w:color="000000" w:sz="8" w:space="0"/>
              <w:right w:val="single" w:color="000000" w:sz="8" w:space="0"/>
            </w:tcBorders>
            <w:shd w:val="clear" w:color="auto" w:fill="auto"/>
            <w:noWrap/>
            <w:vAlign w:val="center"/>
          </w:tcPr>
          <w:p w14:paraId="659FC791">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10027</w:t>
            </w:r>
          </w:p>
        </w:tc>
        <w:tc>
          <w:tcPr>
            <w:tcW w:w="948" w:type="pct"/>
            <w:tcBorders>
              <w:top w:val="nil"/>
              <w:left w:val="nil"/>
              <w:bottom w:val="single" w:color="000000" w:sz="8" w:space="0"/>
              <w:right w:val="single" w:color="000000" w:sz="8" w:space="0"/>
            </w:tcBorders>
            <w:shd w:val="clear" w:color="auto" w:fill="auto"/>
            <w:noWrap/>
            <w:vAlign w:val="center"/>
          </w:tcPr>
          <w:p w14:paraId="48DF7A4F">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5.24</w:t>
            </w:r>
          </w:p>
        </w:tc>
      </w:tr>
      <w:tr w14:paraId="72403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3176" w:type="pct"/>
            <w:gridSpan w:val="2"/>
            <w:tcBorders>
              <w:top w:val="nil"/>
              <w:left w:val="single" w:color="000000" w:sz="8" w:space="0"/>
              <w:bottom w:val="single" w:color="000000" w:sz="8" w:space="0"/>
              <w:right w:val="single" w:color="000000" w:sz="8" w:space="0"/>
            </w:tcBorders>
            <w:shd w:val="clear" w:color="auto" w:fill="auto"/>
            <w:noWrap/>
            <w:vAlign w:val="center"/>
          </w:tcPr>
          <w:p w14:paraId="67FA08E8">
            <w:pPr>
              <w:keepNext w:val="0"/>
              <w:keepLines w:val="0"/>
              <w:widowControl/>
              <w:suppressLineNumbers w:val="0"/>
              <w:spacing w:line="300" w:lineRule="exact"/>
              <w:ind w:firstLine="0" w:firstLineChars="0"/>
              <w:jc w:val="left"/>
              <w:textAlignment w:val="center"/>
              <w:rPr>
                <w:rFonts w:hint="eastAsia" w:ascii="Times New Roman" w:hAnsi="Times New Roman" w:eastAsia="黑体" w:cs="黑体"/>
                <w:b/>
                <w:bCs/>
                <w:i w:val="0"/>
                <w:iCs w:val="0"/>
                <w:color w:val="auto"/>
                <w:sz w:val="24"/>
                <w:szCs w:val="24"/>
                <w:highlight w:val="none"/>
                <w:u w:val="none"/>
              </w:rPr>
            </w:pPr>
            <w:r>
              <w:rPr>
                <w:rFonts w:hint="eastAsia" w:ascii="Times New Roman" w:hAnsi="Times New Roman" w:eastAsia="黑体" w:cs="黑体"/>
                <w:b/>
                <w:bCs/>
                <w:i w:val="0"/>
                <w:iCs w:val="0"/>
                <w:color w:val="auto"/>
                <w:kern w:val="0"/>
                <w:sz w:val="24"/>
                <w:szCs w:val="24"/>
                <w:highlight w:val="none"/>
                <w:u w:val="none"/>
                <w:lang w:val="en-US" w:eastAsia="zh-CN" w:bidi="ar"/>
              </w:rPr>
              <w:t>二、狮头鹅加工冷链提升工程</w:t>
            </w:r>
          </w:p>
        </w:tc>
        <w:tc>
          <w:tcPr>
            <w:tcW w:w="875" w:type="pct"/>
            <w:tcBorders>
              <w:top w:val="nil"/>
              <w:left w:val="nil"/>
              <w:bottom w:val="single" w:color="000000" w:sz="8" w:space="0"/>
              <w:right w:val="single" w:color="000000" w:sz="8" w:space="0"/>
            </w:tcBorders>
            <w:shd w:val="clear" w:color="auto" w:fill="auto"/>
            <w:noWrap/>
            <w:vAlign w:val="center"/>
          </w:tcPr>
          <w:p w14:paraId="4A2BAB9D">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highlight w:val="none"/>
                <w:u w:val="none"/>
              </w:rPr>
            </w:pPr>
            <w:r>
              <w:rPr>
                <w:rFonts w:hint="default" w:ascii="Times New Roman" w:hAnsi="Times New Roman" w:eastAsia="宋体" w:cs="Times New Roman"/>
                <w:b/>
                <w:bCs/>
                <w:i w:val="0"/>
                <w:iCs w:val="0"/>
                <w:color w:val="auto"/>
                <w:kern w:val="0"/>
                <w:sz w:val="24"/>
                <w:szCs w:val="24"/>
                <w:highlight w:val="none"/>
                <w:u w:val="none"/>
                <w:lang w:val="en-US" w:eastAsia="zh-CN" w:bidi="ar"/>
              </w:rPr>
              <w:t>13560</w:t>
            </w:r>
          </w:p>
        </w:tc>
        <w:tc>
          <w:tcPr>
            <w:tcW w:w="948" w:type="pct"/>
            <w:tcBorders>
              <w:top w:val="nil"/>
              <w:left w:val="nil"/>
              <w:bottom w:val="single" w:color="000000" w:sz="8" w:space="0"/>
              <w:right w:val="single" w:color="000000" w:sz="8" w:space="0"/>
            </w:tcBorders>
            <w:shd w:val="clear" w:color="auto" w:fill="auto"/>
            <w:noWrap/>
            <w:vAlign w:val="center"/>
          </w:tcPr>
          <w:p w14:paraId="2F50EEE6">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highlight w:val="none"/>
                <w:u w:val="none"/>
              </w:rPr>
            </w:pPr>
            <w:r>
              <w:rPr>
                <w:rFonts w:hint="default" w:ascii="Times New Roman" w:hAnsi="Times New Roman" w:eastAsia="宋体" w:cs="Times New Roman"/>
                <w:b/>
                <w:bCs/>
                <w:i w:val="0"/>
                <w:iCs w:val="0"/>
                <w:color w:val="auto"/>
                <w:kern w:val="0"/>
                <w:sz w:val="24"/>
                <w:szCs w:val="24"/>
                <w:highlight w:val="none"/>
                <w:u w:val="none"/>
                <w:lang w:val="en-US" w:eastAsia="zh-CN" w:bidi="ar"/>
              </w:rPr>
              <w:t>7.09</w:t>
            </w:r>
          </w:p>
        </w:tc>
      </w:tr>
      <w:tr w14:paraId="713A7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529" w:type="pct"/>
            <w:tcBorders>
              <w:top w:val="nil"/>
              <w:left w:val="single" w:color="000000" w:sz="8" w:space="0"/>
              <w:bottom w:val="single" w:color="000000" w:sz="8" w:space="0"/>
              <w:right w:val="single" w:color="000000" w:sz="8" w:space="0"/>
            </w:tcBorders>
            <w:shd w:val="clear" w:color="auto" w:fill="auto"/>
            <w:noWrap/>
            <w:vAlign w:val="center"/>
          </w:tcPr>
          <w:p w14:paraId="7EA80164">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3</w:t>
            </w:r>
          </w:p>
        </w:tc>
        <w:tc>
          <w:tcPr>
            <w:tcW w:w="2647" w:type="pct"/>
            <w:tcBorders>
              <w:top w:val="nil"/>
              <w:left w:val="nil"/>
              <w:bottom w:val="single" w:color="000000" w:sz="8" w:space="0"/>
              <w:right w:val="single" w:color="000000" w:sz="8" w:space="0"/>
            </w:tcBorders>
            <w:shd w:val="clear" w:color="auto" w:fill="auto"/>
            <w:noWrap/>
            <w:vAlign w:val="center"/>
          </w:tcPr>
          <w:p w14:paraId="3AB67377">
            <w:pPr>
              <w:keepNext w:val="0"/>
              <w:keepLines w:val="0"/>
              <w:widowControl/>
              <w:suppressLineNumbers w:val="0"/>
              <w:spacing w:line="300" w:lineRule="exact"/>
              <w:ind w:firstLine="0" w:firstLineChars="0"/>
              <w:jc w:val="left"/>
              <w:textAlignment w:val="center"/>
              <w:rPr>
                <w:rFonts w:hint="eastAsia" w:ascii="Times New Roman" w:hAnsi="Times New Roman" w:eastAsia="仿宋_GB2312" w:cs="仿宋_GB2312"/>
                <w:i w:val="0"/>
                <w:iCs w:val="0"/>
                <w:color w:val="auto"/>
                <w:sz w:val="24"/>
                <w:szCs w:val="24"/>
                <w:highlight w:val="none"/>
                <w:u w:val="none"/>
              </w:rPr>
            </w:pPr>
            <w:r>
              <w:rPr>
                <w:rFonts w:hint="eastAsia" w:ascii="Times New Roman" w:hAnsi="Times New Roman" w:cs="仿宋_GB2312"/>
                <w:i w:val="0"/>
                <w:iCs w:val="0"/>
                <w:color w:val="auto"/>
                <w:kern w:val="0"/>
                <w:sz w:val="24"/>
                <w:szCs w:val="24"/>
                <w:highlight w:val="none"/>
                <w:u w:val="none"/>
                <w:lang w:val="en-US" w:eastAsia="zh-CN" w:bidi="ar"/>
              </w:rPr>
              <w:t>生产加工基地</w:t>
            </w:r>
            <w:r>
              <w:rPr>
                <w:rFonts w:hint="eastAsia" w:ascii="Times New Roman" w:hAnsi="Times New Roman" w:eastAsia="仿宋_GB2312" w:cs="仿宋_GB2312"/>
                <w:i w:val="0"/>
                <w:iCs w:val="0"/>
                <w:color w:val="auto"/>
                <w:kern w:val="0"/>
                <w:sz w:val="24"/>
                <w:szCs w:val="24"/>
                <w:highlight w:val="none"/>
                <w:u w:val="none"/>
                <w:lang w:val="en-US" w:eastAsia="zh-CN" w:bidi="ar"/>
              </w:rPr>
              <w:t>建设项目</w:t>
            </w:r>
          </w:p>
        </w:tc>
        <w:tc>
          <w:tcPr>
            <w:tcW w:w="875" w:type="pct"/>
            <w:tcBorders>
              <w:top w:val="nil"/>
              <w:left w:val="nil"/>
              <w:bottom w:val="single" w:color="000000" w:sz="8" w:space="0"/>
              <w:right w:val="single" w:color="000000" w:sz="8" w:space="0"/>
            </w:tcBorders>
            <w:shd w:val="clear" w:color="auto" w:fill="auto"/>
            <w:noWrap/>
            <w:vAlign w:val="center"/>
          </w:tcPr>
          <w:p w14:paraId="34E5CA97">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13560</w:t>
            </w:r>
          </w:p>
        </w:tc>
        <w:tc>
          <w:tcPr>
            <w:tcW w:w="948" w:type="pct"/>
            <w:tcBorders>
              <w:top w:val="nil"/>
              <w:left w:val="nil"/>
              <w:bottom w:val="single" w:color="000000" w:sz="8" w:space="0"/>
              <w:right w:val="single" w:color="000000" w:sz="8" w:space="0"/>
            </w:tcBorders>
            <w:shd w:val="clear" w:color="auto" w:fill="auto"/>
            <w:noWrap/>
            <w:vAlign w:val="center"/>
          </w:tcPr>
          <w:p w14:paraId="103FC76D">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7.09</w:t>
            </w:r>
          </w:p>
        </w:tc>
      </w:tr>
      <w:tr w14:paraId="639B5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3176" w:type="pct"/>
            <w:gridSpan w:val="2"/>
            <w:tcBorders>
              <w:top w:val="nil"/>
              <w:left w:val="single" w:color="000000" w:sz="8" w:space="0"/>
              <w:bottom w:val="single" w:color="000000" w:sz="8" w:space="0"/>
              <w:right w:val="single" w:color="000000" w:sz="8" w:space="0"/>
            </w:tcBorders>
            <w:shd w:val="clear" w:color="auto" w:fill="auto"/>
            <w:noWrap/>
            <w:vAlign w:val="center"/>
          </w:tcPr>
          <w:p w14:paraId="576F7F89">
            <w:pPr>
              <w:keepNext w:val="0"/>
              <w:keepLines w:val="0"/>
              <w:widowControl/>
              <w:suppressLineNumbers w:val="0"/>
              <w:spacing w:line="300" w:lineRule="exact"/>
              <w:ind w:firstLine="0" w:firstLineChars="0"/>
              <w:jc w:val="left"/>
              <w:textAlignment w:val="center"/>
              <w:rPr>
                <w:rFonts w:hint="eastAsia" w:ascii="Times New Roman" w:hAnsi="Times New Roman" w:eastAsia="黑体" w:cs="黑体"/>
                <w:b/>
                <w:bCs/>
                <w:i w:val="0"/>
                <w:iCs w:val="0"/>
                <w:color w:val="auto"/>
                <w:sz w:val="24"/>
                <w:szCs w:val="24"/>
                <w:highlight w:val="none"/>
                <w:u w:val="none"/>
              </w:rPr>
            </w:pPr>
            <w:r>
              <w:rPr>
                <w:rFonts w:hint="eastAsia" w:ascii="Times New Roman" w:hAnsi="Times New Roman" w:eastAsia="黑体" w:cs="黑体"/>
                <w:b/>
                <w:bCs/>
                <w:i w:val="0"/>
                <w:iCs w:val="0"/>
                <w:color w:val="auto"/>
                <w:kern w:val="0"/>
                <w:sz w:val="24"/>
                <w:szCs w:val="24"/>
                <w:highlight w:val="none"/>
                <w:u w:val="none"/>
                <w:lang w:val="en-US" w:eastAsia="zh-CN" w:bidi="ar"/>
              </w:rPr>
              <w:t>三、狮头鹅产业服务提升工程</w:t>
            </w:r>
          </w:p>
        </w:tc>
        <w:tc>
          <w:tcPr>
            <w:tcW w:w="875" w:type="pct"/>
            <w:tcBorders>
              <w:top w:val="nil"/>
              <w:left w:val="nil"/>
              <w:bottom w:val="single" w:color="000000" w:sz="8" w:space="0"/>
              <w:right w:val="single" w:color="000000" w:sz="8" w:space="0"/>
            </w:tcBorders>
            <w:shd w:val="clear" w:color="auto" w:fill="auto"/>
            <w:noWrap/>
            <w:vAlign w:val="center"/>
          </w:tcPr>
          <w:p w14:paraId="1351C2BE">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highlight w:val="none"/>
                <w:u w:val="none"/>
              </w:rPr>
            </w:pPr>
            <w:r>
              <w:rPr>
                <w:rFonts w:hint="default" w:ascii="Times New Roman" w:hAnsi="Times New Roman" w:eastAsia="宋体" w:cs="Times New Roman"/>
                <w:b/>
                <w:bCs/>
                <w:i w:val="0"/>
                <w:iCs w:val="0"/>
                <w:color w:val="auto"/>
                <w:kern w:val="0"/>
                <w:sz w:val="24"/>
                <w:szCs w:val="24"/>
                <w:highlight w:val="none"/>
                <w:u w:val="none"/>
                <w:lang w:val="en-US" w:eastAsia="zh-CN" w:bidi="ar"/>
              </w:rPr>
              <w:t>1340</w:t>
            </w:r>
          </w:p>
        </w:tc>
        <w:tc>
          <w:tcPr>
            <w:tcW w:w="948" w:type="pct"/>
            <w:tcBorders>
              <w:top w:val="nil"/>
              <w:left w:val="nil"/>
              <w:bottom w:val="single" w:color="000000" w:sz="8" w:space="0"/>
              <w:right w:val="single" w:color="000000" w:sz="8" w:space="0"/>
            </w:tcBorders>
            <w:shd w:val="clear" w:color="auto" w:fill="auto"/>
            <w:noWrap/>
            <w:vAlign w:val="center"/>
          </w:tcPr>
          <w:p w14:paraId="461345DC">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highlight w:val="none"/>
                <w:u w:val="none"/>
              </w:rPr>
            </w:pPr>
            <w:r>
              <w:rPr>
                <w:rFonts w:hint="default" w:ascii="Times New Roman" w:hAnsi="Times New Roman" w:eastAsia="宋体" w:cs="Times New Roman"/>
                <w:b/>
                <w:bCs/>
                <w:i w:val="0"/>
                <w:iCs w:val="0"/>
                <w:color w:val="auto"/>
                <w:kern w:val="0"/>
                <w:sz w:val="24"/>
                <w:szCs w:val="24"/>
                <w:highlight w:val="none"/>
                <w:u w:val="none"/>
                <w:lang w:val="en-US" w:eastAsia="zh-CN" w:bidi="ar"/>
              </w:rPr>
              <w:t>0.7</w:t>
            </w:r>
          </w:p>
        </w:tc>
      </w:tr>
      <w:tr w14:paraId="6868A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529" w:type="pct"/>
            <w:tcBorders>
              <w:top w:val="nil"/>
              <w:left w:val="single" w:color="000000" w:sz="8" w:space="0"/>
              <w:bottom w:val="single" w:color="000000" w:sz="8" w:space="0"/>
              <w:right w:val="single" w:color="000000" w:sz="8" w:space="0"/>
            </w:tcBorders>
            <w:shd w:val="clear" w:color="auto" w:fill="auto"/>
            <w:noWrap/>
            <w:vAlign w:val="center"/>
          </w:tcPr>
          <w:p w14:paraId="39C69C1F">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4</w:t>
            </w:r>
          </w:p>
        </w:tc>
        <w:tc>
          <w:tcPr>
            <w:tcW w:w="2647" w:type="pct"/>
            <w:tcBorders>
              <w:top w:val="nil"/>
              <w:left w:val="nil"/>
              <w:bottom w:val="single" w:color="000000" w:sz="8" w:space="0"/>
              <w:right w:val="single" w:color="000000" w:sz="8" w:space="0"/>
            </w:tcBorders>
            <w:shd w:val="clear" w:color="auto" w:fill="auto"/>
            <w:noWrap/>
            <w:vAlign w:val="center"/>
          </w:tcPr>
          <w:p w14:paraId="43C9B305">
            <w:pPr>
              <w:keepNext w:val="0"/>
              <w:keepLines w:val="0"/>
              <w:widowControl/>
              <w:suppressLineNumbers w:val="0"/>
              <w:spacing w:line="300" w:lineRule="exact"/>
              <w:ind w:firstLine="0" w:firstLineChars="0"/>
              <w:jc w:val="left"/>
              <w:textAlignment w:val="center"/>
              <w:rPr>
                <w:rFonts w:hint="eastAsia" w:ascii="Times New Roman" w:hAnsi="Times New Roman" w:eastAsia="仿宋_GB2312" w:cs="仿宋_GB2312"/>
                <w:i w:val="0"/>
                <w:iCs w:val="0"/>
                <w:color w:val="auto"/>
                <w:sz w:val="24"/>
                <w:szCs w:val="24"/>
                <w:highlight w:val="none"/>
                <w:u w:val="none"/>
              </w:rPr>
            </w:pPr>
            <w:r>
              <w:rPr>
                <w:rFonts w:hint="eastAsia" w:ascii="Times New Roman" w:hAnsi="Times New Roman" w:eastAsia="仿宋_GB2312" w:cs="仿宋_GB2312"/>
                <w:i w:val="0"/>
                <w:iCs w:val="0"/>
                <w:color w:val="auto"/>
                <w:kern w:val="0"/>
                <w:sz w:val="24"/>
                <w:szCs w:val="24"/>
                <w:highlight w:val="none"/>
                <w:u w:val="none"/>
                <w:lang w:val="en-US" w:eastAsia="zh-CN" w:bidi="ar"/>
              </w:rPr>
              <w:t>狮头鹅原种保护和培育建设项目</w:t>
            </w:r>
          </w:p>
        </w:tc>
        <w:tc>
          <w:tcPr>
            <w:tcW w:w="875" w:type="pct"/>
            <w:tcBorders>
              <w:top w:val="nil"/>
              <w:left w:val="nil"/>
              <w:bottom w:val="single" w:color="000000" w:sz="8" w:space="0"/>
              <w:right w:val="single" w:color="000000" w:sz="8" w:space="0"/>
            </w:tcBorders>
            <w:shd w:val="clear" w:color="auto" w:fill="auto"/>
            <w:noWrap/>
            <w:vAlign w:val="center"/>
          </w:tcPr>
          <w:p w14:paraId="20A33221">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780</w:t>
            </w:r>
          </w:p>
        </w:tc>
        <w:tc>
          <w:tcPr>
            <w:tcW w:w="948" w:type="pct"/>
            <w:tcBorders>
              <w:top w:val="nil"/>
              <w:left w:val="nil"/>
              <w:bottom w:val="single" w:color="000000" w:sz="8" w:space="0"/>
              <w:right w:val="single" w:color="000000" w:sz="8" w:space="0"/>
            </w:tcBorders>
            <w:shd w:val="clear" w:color="auto" w:fill="auto"/>
            <w:noWrap/>
            <w:vAlign w:val="center"/>
          </w:tcPr>
          <w:p w14:paraId="4471FFF5">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0.41</w:t>
            </w:r>
          </w:p>
        </w:tc>
      </w:tr>
      <w:tr w14:paraId="73A23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529" w:type="pct"/>
            <w:tcBorders>
              <w:top w:val="nil"/>
              <w:left w:val="single" w:color="000000" w:sz="8" w:space="0"/>
              <w:bottom w:val="single" w:color="000000" w:sz="8" w:space="0"/>
              <w:right w:val="single" w:color="000000" w:sz="8" w:space="0"/>
            </w:tcBorders>
            <w:shd w:val="clear" w:color="auto" w:fill="auto"/>
            <w:noWrap/>
            <w:vAlign w:val="center"/>
          </w:tcPr>
          <w:p w14:paraId="4A0FAACC">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5</w:t>
            </w:r>
          </w:p>
        </w:tc>
        <w:tc>
          <w:tcPr>
            <w:tcW w:w="2647" w:type="pct"/>
            <w:tcBorders>
              <w:top w:val="nil"/>
              <w:left w:val="nil"/>
              <w:bottom w:val="single" w:color="000000" w:sz="8" w:space="0"/>
              <w:right w:val="single" w:color="000000" w:sz="8" w:space="0"/>
            </w:tcBorders>
            <w:shd w:val="clear" w:color="auto" w:fill="auto"/>
            <w:noWrap/>
            <w:vAlign w:val="center"/>
          </w:tcPr>
          <w:p w14:paraId="5929700C">
            <w:pPr>
              <w:keepNext w:val="0"/>
              <w:keepLines w:val="0"/>
              <w:widowControl/>
              <w:suppressLineNumbers w:val="0"/>
              <w:spacing w:line="300" w:lineRule="exact"/>
              <w:ind w:firstLine="0" w:firstLineChars="0"/>
              <w:jc w:val="left"/>
              <w:textAlignment w:val="center"/>
              <w:rPr>
                <w:rFonts w:hint="eastAsia" w:ascii="Times New Roman" w:hAnsi="Times New Roman" w:eastAsia="仿宋_GB2312" w:cs="仿宋_GB2312"/>
                <w:i w:val="0"/>
                <w:iCs w:val="0"/>
                <w:color w:val="auto"/>
                <w:sz w:val="24"/>
                <w:szCs w:val="24"/>
                <w:highlight w:val="none"/>
                <w:u w:val="none"/>
              </w:rPr>
            </w:pPr>
            <w:r>
              <w:rPr>
                <w:rFonts w:hint="eastAsia" w:ascii="Times New Roman" w:hAnsi="Times New Roman" w:eastAsia="仿宋_GB2312" w:cs="仿宋_GB2312"/>
                <w:i w:val="0"/>
                <w:iCs w:val="0"/>
                <w:color w:val="auto"/>
                <w:kern w:val="0"/>
                <w:sz w:val="24"/>
                <w:szCs w:val="24"/>
                <w:highlight w:val="none"/>
                <w:u w:val="none"/>
                <w:lang w:val="en-US" w:eastAsia="zh-CN" w:bidi="ar"/>
              </w:rPr>
              <w:t>澄海狮头鹅全产业链标准体系与区域品牌提升建设项目</w:t>
            </w:r>
          </w:p>
        </w:tc>
        <w:tc>
          <w:tcPr>
            <w:tcW w:w="875" w:type="pct"/>
            <w:tcBorders>
              <w:top w:val="nil"/>
              <w:left w:val="nil"/>
              <w:bottom w:val="single" w:color="000000" w:sz="8" w:space="0"/>
              <w:right w:val="single" w:color="000000" w:sz="8" w:space="0"/>
            </w:tcBorders>
            <w:shd w:val="clear" w:color="auto" w:fill="auto"/>
            <w:noWrap/>
            <w:vAlign w:val="center"/>
          </w:tcPr>
          <w:p w14:paraId="00B3AA91">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560</w:t>
            </w:r>
          </w:p>
        </w:tc>
        <w:tc>
          <w:tcPr>
            <w:tcW w:w="948" w:type="pct"/>
            <w:tcBorders>
              <w:top w:val="nil"/>
              <w:left w:val="nil"/>
              <w:bottom w:val="single" w:color="000000" w:sz="8" w:space="0"/>
              <w:right w:val="single" w:color="000000" w:sz="8" w:space="0"/>
            </w:tcBorders>
            <w:shd w:val="clear" w:color="auto" w:fill="auto"/>
            <w:noWrap/>
            <w:vAlign w:val="center"/>
          </w:tcPr>
          <w:p w14:paraId="1326BEA3">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0.29</w:t>
            </w:r>
          </w:p>
        </w:tc>
      </w:tr>
      <w:tr w14:paraId="71048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3176" w:type="pct"/>
            <w:gridSpan w:val="2"/>
            <w:tcBorders>
              <w:top w:val="nil"/>
              <w:left w:val="single" w:color="000000" w:sz="8" w:space="0"/>
              <w:bottom w:val="single" w:color="000000" w:sz="8" w:space="0"/>
              <w:right w:val="single" w:color="000000" w:sz="8" w:space="0"/>
            </w:tcBorders>
            <w:shd w:val="clear" w:color="auto" w:fill="auto"/>
            <w:noWrap/>
            <w:vAlign w:val="center"/>
          </w:tcPr>
          <w:p w14:paraId="21B4D0C6">
            <w:pPr>
              <w:keepNext w:val="0"/>
              <w:keepLines w:val="0"/>
              <w:widowControl/>
              <w:suppressLineNumbers w:val="0"/>
              <w:spacing w:line="300" w:lineRule="exact"/>
              <w:ind w:firstLine="0" w:firstLineChars="0"/>
              <w:jc w:val="left"/>
              <w:textAlignment w:val="center"/>
              <w:rPr>
                <w:rFonts w:hint="eastAsia" w:ascii="Times New Roman" w:hAnsi="Times New Roman" w:eastAsia="黑体" w:cs="黑体"/>
                <w:b/>
                <w:bCs/>
                <w:i w:val="0"/>
                <w:iCs w:val="0"/>
                <w:color w:val="auto"/>
                <w:sz w:val="24"/>
                <w:szCs w:val="24"/>
                <w:highlight w:val="none"/>
                <w:u w:val="none"/>
              </w:rPr>
            </w:pPr>
            <w:r>
              <w:rPr>
                <w:rFonts w:hint="eastAsia" w:ascii="Times New Roman" w:hAnsi="Times New Roman" w:eastAsia="黑体" w:cs="黑体"/>
                <w:b/>
                <w:bCs/>
                <w:i w:val="0"/>
                <w:iCs w:val="0"/>
                <w:color w:val="auto"/>
                <w:kern w:val="0"/>
                <w:sz w:val="24"/>
                <w:szCs w:val="24"/>
                <w:highlight w:val="none"/>
                <w:u w:val="none"/>
                <w:lang w:val="en-US" w:eastAsia="zh-CN" w:bidi="ar"/>
              </w:rPr>
              <w:t>四、产业兴旺助力乡村振兴工程</w:t>
            </w:r>
          </w:p>
        </w:tc>
        <w:tc>
          <w:tcPr>
            <w:tcW w:w="875" w:type="pct"/>
            <w:tcBorders>
              <w:top w:val="nil"/>
              <w:left w:val="nil"/>
              <w:bottom w:val="single" w:color="000000" w:sz="8" w:space="0"/>
              <w:right w:val="single" w:color="000000" w:sz="8" w:space="0"/>
            </w:tcBorders>
            <w:shd w:val="clear" w:color="auto" w:fill="auto"/>
            <w:noWrap/>
            <w:vAlign w:val="center"/>
          </w:tcPr>
          <w:p w14:paraId="775AFB9E">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highlight w:val="none"/>
                <w:u w:val="none"/>
              </w:rPr>
            </w:pPr>
            <w:r>
              <w:rPr>
                <w:rFonts w:hint="default" w:ascii="Times New Roman" w:hAnsi="Times New Roman" w:eastAsia="宋体" w:cs="Times New Roman"/>
                <w:b/>
                <w:bCs/>
                <w:i w:val="0"/>
                <w:iCs w:val="0"/>
                <w:color w:val="auto"/>
                <w:kern w:val="0"/>
                <w:sz w:val="24"/>
                <w:szCs w:val="24"/>
                <w:highlight w:val="none"/>
                <w:u w:val="none"/>
                <w:lang w:val="en-US" w:eastAsia="zh-CN" w:bidi="ar"/>
              </w:rPr>
              <w:t>155393</w:t>
            </w:r>
          </w:p>
        </w:tc>
        <w:tc>
          <w:tcPr>
            <w:tcW w:w="948" w:type="pct"/>
            <w:tcBorders>
              <w:top w:val="nil"/>
              <w:left w:val="nil"/>
              <w:bottom w:val="single" w:color="000000" w:sz="8" w:space="0"/>
              <w:right w:val="single" w:color="000000" w:sz="8" w:space="0"/>
            </w:tcBorders>
            <w:shd w:val="clear" w:color="auto" w:fill="auto"/>
            <w:noWrap/>
            <w:vAlign w:val="center"/>
          </w:tcPr>
          <w:p w14:paraId="1C05D1CA">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highlight w:val="none"/>
                <w:u w:val="none"/>
              </w:rPr>
            </w:pPr>
            <w:r>
              <w:rPr>
                <w:rFonts w:hint="default" w:ascii="Times New Roman" w:hAnsi="Times New Roman" w:eastAsia="宋体" w:cs="Times New Roman"/>
                <w:b/>
                <w:bCs/>
                <w:i w:val="0"/>
                <w:iCs w:val="0"/>
                <w:color w:val="auto"/>
                <w:kern w:val="0"/>
                <w:sz w:val="24"/>
                <w:szCs w:val="24"/>
                <w:highlight w:val="none"/>
                <w:u w:val="none"/>
                <w:lang w:val="en-US" w:eastAsia="zh-CN" w:bidi="ar"/>
              </w:rPr>
              <w:t>81.2</w:t>
            </w:r>
          </w:p>
        </w:tc>
      </w:tr>
      <w:tr w14:paraId="168B0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529" w:type="pct"/>
            <w:tcBorders>
              <w:top w:val="nil"/>
              <w:left w:val="single" w:color="000000" w:sz="8" w:space="0"/>
              <w:bottom w:val="single" w:color="000000" w:sz="8" w:space="0"/>
              <w:right w:val="single" w:color="000000" w:sz="8" w:space="0"/>
            </w:tcBorders>
            <w:shd w:val="clear" w:color="auto" w:fill="auto"/>
            <w:noWrap/>
            <w:vAlign w:val="center"/>
          </w:tcPr>
          <w:p w14:paraId="17848A2F">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6</w:t>
            </w:r>
          </w:p>
        </w:tc>
        <w:tc>
          <w:tcPr>
            <w:tcW w:w="2647" w:type="pct"/>
            <w:tcBorders>
              <w:top w:val="nil"/>
              <w:left w:val="nil"/>
              <w:bottom w:val="single" w:color="000000" w:sz="8" w:space="0"/>
              <w:right w:val="single" w:color="000000" w:sz="8" w:space="0"/>
            </w:tcBorders>
            <w:shd w:val="clear" w:color="auto" w:fill="auto"/>
            <w:noWrap/>
            <w:vAlign w:val="center"/>
          </w:tcPr>
          <w:p w14:paraId="34485321">
            <w:pPr>
              <w:keepNext w:val="0"/>
              <w:keepLines w:val="0"/>
              <w:widowControl/>
              <w:suppressLineNumbers w:val="0"/>
              <w:spacing w:line="300" w:lineRule="exact"/>
              <w:ind w:firstLine="0" w:firstLineChars="0"/>
              <w:jc w:val="left"/>
              <w:textAlignment w:val="center"/>
              <w:rPr>
                <w:rFonts w:hint="eastAsia" w:ascii="Times New Roman" w:hAnsi="Times New Roman" w:eastAsia="仿宋_GB2312" w:cs="仿宋_GB2312"/>
                <w:i w:val="0"/>
                <w:iCs w:val="0"/>
                <w:color w:val="auto"/>
                <w:sz w:val="24"/>
                <w:szCs w:val="24"/>
                <w:highlight w:val="none"/>
                <w:u w:val="none"/>
              </w:rPr>
            </w:pPr>
            <w:r>
              <w:rPr>
                <w:rFonts w:hint="eastAsia" w:ascii="Times New Roman" w:hAnsi="Times New Roman" w:eastAsia="仿宋_GB2312" w:cs="仿宋_GB2312"/>
                <w:i w:val="0"/>
                <w:iCs w:val="0"/>
                <w:color w:val="auto"/>
                <w:kern w:val="0"/>
                <w:sz w:val="24"/>
                <w:szCs w:val="24"/>
                <w:highlight w:val="none"/>
                <w:u w:val="none"/>
                <w:lang w:val="en-US" w:eastAsia="zh-CN" w:bidi="ar"/>
              </w:rPr>
              <w:t>加强狮头鹅产业基础设施保障建设项目</w:t>
            </w:r>
          </w:p>
        </w:tc>
        <w:tc>
          <w:tcPr>
            <w:tcW w:w="875" w:type="pct"/>
            <w:tcBorders>
              <w:top w:val="nil"/>
              <w:left w:val="nil"/>
              <w:bottom w:val="single" w:color="000000" w:sz="8" w:space="0"/>
              <w:right w:val="single" w:color="000000" w:sz="8" w:space="0"/>
            </w:tcBorders>
            <w:shd w:val="clear" w:color="auto" w:fill="auto"/>
            <w:noWrap/>
            <w:vAlign w:val="center"/>
          </w:tcPr>
          <w:p w14:paraId="3C3B5407">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147633</w:t>
            </w:r>
          </w:p>
        </w:tc>
        <w:tc>
          <w:tcPr>
            <w:tcW w:w="948" w:type="pct"/>
            <w:tcBorders>
              <w:top w:val="nil"/>
              <w:left w:val="nil"/>
              <w:bottom w:val="single" w:color="000000" w:sz="8" w:space="0"/>
              <w:right w:val="single" w:color="000000" w:sz="8" w:space="0"/>
            </w:tcBorders>
            <w:shd w:val="clear" w:color="auto" w:fill="auto"/>
            <w:noWrap/>
            <w:vAlign w:val="center"/>
          </w:tcPr>
          <w:p w14:paraId="5101F8F2">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77.14</w:t>
            </w:r>
          </w:p>
        </w:tc>
      </w:tr>
      <w:tr w14:paraId="20758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529" w:type="pct"/>
            <w:tcBorders>
              <w:top w:val="nil"/>
              <w:left w:val="single" w:color="000000" w:sz="8" w:space="0"/>
              <w:bottom w:val="single" w:color="000000" w:sz="8" w:space="0"/>
              <w:right w:val="single" w:color="000000" w:sz="8" w:space="0"/>
            </w:tcBorders>
            <w:shd w:val="clear" w:color="auto" w:fill="auto"/>
            <w:noWrap/>
            <w:vAlign w:val="center"/>
          </w:tcPr>
          <w:p w14:paraId="3FD9B73D">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7</w:t>
            </w:r>
          </w:p>
        </w:tc>
        <w:tc>
          <w:tcPr>
            <w:tcW w:w="2647" w:type="pct"/>
            <w:tcBorders>
              <w:top w:val="nil"/>
              <w:left w:val="nil"/>
              <w:bottom w:val="single" w:color="000000" w:sz="8" w:space="0"/>
              <w:right w:val="single" w:color="000000" w:sz="8" w:space="0"/>
            </w:tcBorders>
            <w:shd w:val="clear" w:color="auto" w:fill="auto"/>
            <w:noWrap/>
            <w:vAlign w:val="center"/>
          </w:tcPr>
          <w:p w14:paraId="46C16969">
            <w:pPr>
              <w:keepNext w:val="0"/>
              <w:keepLines w:val="0"/>
              <w:widowControl/>
              <w:suppressLineNumbers w:val="0"/>
              <w:spacing w:line="300" w:lineRule="exact"/>
              <w:ind w:firstLine="0" w:firstLineChars="0"/>
              <w:jc w:val="left"/>
              <w:textAlignment w:val="center"/>
              <w:rPr>
                <w:rFonts w:hint="eastAsia" w:ascii="Times New Roman" w:hAnsi="Times New Roman" w:eastAsia="仿宋_GB2312" w:cs="仿宋_GB2312"/>
                <w:i w:val="0"/>
                <w:iCs w:val="0"/>
                <w:color w:val="auto"/>
                <w:sz w:val="24"/>
                <w:szCs w:val="24"/>
                <w:highlight w:val="none"/>
                <w:u w:val="none"/>
              </w:rPr>
            </w:pPr>
            <w:r>
              <w:rPr>
                <w:rFonts w:hint="eastAsia" w:ascii="Times New Roman" w:hAnsi="Times New Roman" w:eastAsia="仿宋_GB2312" w:cs="仿宋_GB2312"/>
                <w:i w:val="0"/>
                <w:iCs w:val="0"/>
                <w:color w:val="auto"/>
                <w:kern w:val="0"/>
                <w:sz w:val="24"/>
                <w:szCs w:val="24"/>
                <w:highlight w:val="none"/>
                <w:u w:val="none"/>
                <w:lang w:val="en-US" w:eastAsia="zh-CN" w:bidi="ar"/>
              </w:rPr>
              <w:t>产村融合建设项目</w:t>
            </w:r>
          </w:p>
        </w:tc>
        <w:tc>
          <w:tcPr>
            <w:tcW w:w="875" w:type="pct"/>
            <w:tcBorders>
              <w:top w:val="nil"/>
              <w:left w:val="nil"/>
              <w:bottom w:val="single" w:color="000000" w:sz="8" w:space="0"/>
              <w:right w:val="single" w:color="000000" w:sz="8" w:space="0"/>
            </w:tcBorders>
            <w:shd w:val="clear" w:color="auto" w:fill="auto"/>
            <w:noWrap/>
            <w:vAlign w:val="center"/>
          </w:tcPr>
          <w:p w14:paraId="60419BEB">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7760</w:t>
            </w:r>
          </w:p>
        </w:tc>
        <w:tc>
          <w:tcPr>
            <w:tcW w:w="948" w:type="pct"/>
            <w:tcBorders>
              <w:top w:val="nil"/>
              <w:left w:val="nil"/>
              <w:bottom w:val="single" w:color="000000" w:sz="8" w:space="0"/>
              <w:right w:val="single" w:color="000000" w:sz="8" w:space="0"/>
            </w:tcBorders>
            <w:shd w:val="clear" w:color="auto" w:fill="auto"/>
            <w:noWrap/>
            <w:vAlign w:val="center"/>
          </w:tcPr>
          <w:p w14:paraId="1C1CACA1">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4.06</w:t>
            </w:r>
          </w:p>
        </w:tc>
      </w:tr>
      <w:tr w14:paraId="042EB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3176" w:type="pct"/>
            <w:gridSpan w:val="2"/>
            <w:tcBorders>
              <w:top w:val="nil"/>
              <w:left w:val="single" w:color="000000" w:sz="8" w:space="0"/>
              <w:bottom w:val="single" w:color="000000" w:sz="8" w:space="0"/>
              <w:right w:val="single" w:color="000000" w:sz="8" w:space="0"/>
            </w:tcBorders>
            <w:shd w:val="clear" w:color="auto" w:fill="auto"/>
            <w:noWrap/>
            <w:vAlign w:val="center"/>
          </w:tcPr>
          <w:p w14:paraId="5F137373">
            <w:pPr>
              <w:keepNext w:val="0"/>
              <w:keepLines w:val="0"/>
              <w:widowControl/>
              <w:suppressLineNumbers w:val="0"/>
              <w:spacing w:line="300" w:lineRule="exact"/>
              <w:ind w:firstLine="0" w:firstLineChars="0"/>
              <w:jc w:val="center"/>
              <w:textAlignment w:val="center"/>
              <w:rPr>
                <w:rFonts w:hint="eastAsia" w:ascii="Times New Roman" w:hAnsi="Times New Roman" w:eastAsia="黑体" w:cs="黑体"/>
                <w:b/>
                <w:bCs/>
                <w:i w:val="0"/>
                <w:iCs w:val="0"/>
                <w:color w:val="auto"/>
                <w:sz w:val="24"/>
                <w:szCs w:val="24"/>
                <w:highlight w:val="none"/>
                <w:u w:val="none"/>
              </w:rPr>
            </w:pPr>
            <w:r>
              <w:rPr>
                <w:rFonts w:hint="eastAsia" w:ascii="Times New Roman" w:hAnsi="Times New Roman" w:eastAsia="黑体" w:cs="黑体"/>
                <w:b/>
                <w:bCs/>
                <w:i w:val="0"/>
                <w:iCs w:val="0"/>
                <w:color w:val="auto"/>
                <w:kern w:val="0"/>
                <w:sz w:val="24"/>
                <w:szCs w:val="24"/>
                <w:highlight w:val="none"/>
                <w:u w:val="none"/>
                <w:lang w:val="en-US" w:eastAsia="zh-CN" w:bidi="ar"/>
              </w:rPr>
              <w:t>合计</w:t>
            </w:r>
          </w:p>
        </w:tc>
        <w:tc>
          <w:tcPr>
            <w:tcW w:w="875" w:type="pct"/>
            <w:tcBorders>
              <w:top w:val="nil"/>
              <w:left w:val="nil"/>
              <w:bottom w:val="single" w:color="000000" w:sz="8" w:space="0"/>
              <w:right w:val="single" w:color="000000" w:sz="8" w:space="0"/>
            </w:tcBorders>
            <w:shd w:val="clear" w:color="auto" w:fill="auto"/>
            <w:noWrap/>
            <w:vAlign w:val="center"/>
          </w:tcPr>
          <w:p w14:paraId="541BEDA0">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highlight w:val="none"/>
                <w:u w:val="none"/>
              </w:rPr>
            </w:pPr>
            <w:r>
              <w:rPr>
                <w:rFonts w:hint="default" w:ascii="Times New Roman" w:hAnsi="Times New Roman" w:eastAsia="宋体" w:cs="Times New Roman"/>
                <w:b/>
                <w:bCs/>
                <w:i w:val="0"/>
                <w:iCs w:val="0"/>
                <w:color w:val="auto"/>
                <w:kern w:val="0"/>
                <w:sz w:val="24"/>
                <w:szCs w:val="24"/>
                <w:highlight w:val="none"/>
                <w:u w:val="none"/>
                <w:lang w:val="en-US" w:eastAsia="zh-CN" w:bidi="ar"/>
              </w:rPr>
              <w:t>191352</w:t>
            </w:r>
          </w:p>
        </w:tc>
        <w:tc>
          <w:tcPr>
            <w:tcW w:w="948" w:type="pct"/>
            <w:tcBorders>
              <w:top w:val="nil"/>
              <w:left w:val="nil"/>
              <w:bottom w:val="single" w:color="000000" w:sz="8" w:space="0"/>
              <w:right w:val="single" w:color="000000" w:sz="8" w:space="0"/>
            </w:tcBorders>
            <w:shd w:val="clear" w:color="auto" w:fill="auto"/>
            <w:noWrap/>
            <w:vAlign w:val="center"/>
          </w:tcPr>
          <w:p w14:paraId="7C7C8D0D">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highlight w:val="none"/>
                <w:u w:val="none"/>
              </w:rPr>
            </w:pPr>
            <w:r>
              <w:rPr>
                <w:rFonts w:hint="default" w:ascii="Times New Roman" w:hAnsi="Times New Roman" w:eastAsia="宋体" w:cs="Times New Roman"/>
                <w:b/>
                <w:bCs/>
                <w:i w:val="0"/>
                <w:iCs w:val="0"/>
                <w:color w:val="auto"/>
                <w:kern w:val="0"/>
                <w:sz w:val="24"/>
                <w:szCs w:val="24"/>
                <w:highlight w:val="none"/>
                <w:u w:val="none"/>
                <w:lang w:val="en-US" w:eastAsia="zh-CN" w:bidi="ar"/>
              </w:rPr>
              <w:t>100</w:t>
            </w:r>
          </w:p>
        </w:tc>
      </w:tr>
    </w:tbl>
    <w:p w14:paraId="0B220968">
      <w:pPr>
        <w:pageBreakBefore w:val="0"/>
        <w:kinsoku/>
        <w:overflowPunct/>
        <w:topLinePunct w:val="0"/>
        <w:autoSpaceDE/>
        <w:autoSpaceDN/>
        <w:bidi w:val="0"/>
        <w:adjustRightInd/>
        <w:snapToGrid/>
        <w:spacing w:line="590" w:lineRule="exact"/>
        <w:ind w:firstLine="640"/>
        <w:rPr>
          <w:rFonts w:hint="default" w:ascii="Times New Roman" w:hAnsi="Times New Roman" w:eastAsia="仿宋_GB2312" w:cs="Times New Roman"/>
          <w:color w:val="auto"/>
          <w:highlight w:val="none"/>
        </w:rPr>
      </w:pPr>
    </w:p>
    <w:p w14:paraId="5647A726">
      <w:pPr>
        <w:pStyle w:val="16"/>
        <w:pageBreakBefore w:val="0"/>
        <w:kinsoku/>
        <w:overflowPunct/>
        <w:topLinePunct w:val="0"/>
        <w:autoSpaceDE/>
        <w:autoSpaceDN/>
        <w:bidi w:val="0"/>
        <w:adjustRightInd/>
        <w:snapToGrid/>
        <w:spacing w:line="590" w:lineRule="exact"/>
        <w:rPr>
          <w:rFonts w:hint="default" w:ascii="Times New Roman" w:hAnsi="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7AF9680">
      <w:pPr>
        <w:pStyle w:val="15"/>
        <w:keepNext w:val="0"/>
        <w:keepLines w:val="0"/>
        <w:pageBreakBefore w:val="0"/>
        <w:kinsoku/>
        <w:overflowPunct/>
        <w:topLinePunct w:val="0"/>
        <w:autoSpaceDE/>
        <w:autoSpaceDN/>
        <w:bidi w:val="0"/>
        <w:adjustRightInd/>
        <w:snapToGrid/>
        <w:ind w:firstLine="0" w:firstLineChars="0"/>
        <w:jc w:val="center"/>
        <w:textAlignment w:val="auto"/>
        <w:rPr>
          <w:rFonts w:hint="eastAsia" w:ascii="Times New Roman" w:hAnsi="Times New Roman" w:eastAsia="黑体" w:cs="Times New Roman"/>
          <w:b w:val="0"/>
          <w:bCs w:val="0"/>
          <w:color w:val="auto"/>
          <w:sz w:val="28"/>
          <w:szCs w:val="28"/>
          <w:highlight w:val="none"/>
          <w:lang w:val="en-US" w:eastAsia="zh-CN"/>
        </w:rPr>
      </w:pPr>
      <w:r>
        <w:rPr>
          <w:rFonts w:hint="eastAsia" w:ascii="Times New Roman" w:hAnsi="Times New Roman" w:eastAsia="黑体" w:cs="Times New Roman"/>
          <w:b w:val="0"/>
          <w:bCs w:val="0"/>
          <w:color w:val="auto"/>
          <w:sz w:val="28"/>
          <w:szCs w:val="28"/>
          <w:highlight w:val="none"/>
          <w:lang w:val="en-US" w:eastAsia="zh-CN"/>
        </w:rPr>
        <w:t>中央财政资金支出项目及年度资金使用计划一览表</w:t>
      </w:r>
    </w:p>
    <w:p w14:paraId="26B6E253">
      <w:pPr>
        <w:jc w:val="right"/>
        <w:rPr>
          <w:rFonts w:hint="eastAsia" w:ascii="Times New Roman" w:hAnsi="Times New Roman" w:eastAsia="黑体" w:cs="Times New Roman"/>
          <w:b w:val="0"/>
          <w:bCs w:val="0"/>
          <w:color w:val="auto"/>
          <w:sz w:val="28"/>
          <w:szCs w:val="28"/>
          <w:highlight w:val="none"/>
          <w:lang w:val="en-US" w:eastAsia="zh-CN"/>
        </w:rPr>
      </w:pPr>
      <w:r>
        <w:rPr>
          <w:rFonts w:hint="eastAsia" w:ascii="Times New Roman" w:hAnsi="Times New Roman" w:eastAsia="黑体" w:cs="Times New Roman"/>
          <w:b w:val="0"/>
          <w:bCs w:val="0"/>
          <w:color w:val="auto"/>
          <w:sz w:val="28"/>
          <w:szCs w:val="28"/>
          <w:highlight w:val="none"/>
          <w:lang w:val="en-US" w:eastAsia="zh-CN"/>
        </w:rPr>
        <w:t>单位：万元</w:t>
      </w:r>
    </w:p>
    <w:tbl>
      <w:tblPr>
        <w:tblStyle w:val="2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4"/>
        <w:gridCol w:w="952"/>
        <w:gridCol w:w="1038"/>
        <w:gridCol w:w="3550"/>
        <w:gridCol w:w="3837"/>
        <w:gridCol w:w="862"/>
        <w:gridCol w:w="1088"/>
        <w:gridCol w:w="814"/>
        <w:gridCol w:w="848"/>
      </w:tblGrid>
      <w:tr w14:paraId="7517D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A7032C">
            <w:pPr>
              <w:keepNext w:val="0"/>
              <w:keepLines w:val="0"/>
              <w:widowControl/>
              <w:suppressLineNumbers w:val="0"/>
              <w:spacing w:line="300" w:lineRule="exact"/>
              <w:ind w:firstLine="0" w:firstLineChars="0"/>
              <w:jc w:val="center"/>
              <w:textAlignment w:val="center"/>
              <w:rPr>
                <w:rFonts w:ascii="黑体" w:hAnsi="宋体" w:eastAsia="黑体" w:cs="黑体"/>
                <w:b/>
                <w:bCs/>
                <w:i w:val="0"/>
                <w:iCs w:val="0"/>
                <w:color w:val="auto"/>
                <w:sz w:val="24"/>
                <w:szCs w:val="24"/>
                <w:u w:val="none"/>
              </w:rPr>
            </w:pPr>
            <w:r>
              <w:rPr>
                <w:rFonts w:hint="eastAsia" w:ascii="黑体" w:hAnsi="宋体" w:eastAsia="黑体" w:cs="黑体"/>
                <w:b/>
                <w:bCs/>
                <w:i w:val="0"/>
                <w:iCs w:val="0"/>
                <w:color w:val="auto"/>
                <w:kern w:val="0"/>
                <w:sz w:val="24"/>
                <w:szCs w:val="24"/>
                <w:u w:val="none"/>
                <w:lang w:val="en-US" w:eastAsia="zh-CN" w:bidi="ar"/>
              </w:rPr>
              <w:t>序号</w:t>
            </w:r>
          </w:p>
        </w:tc>
        <w:tc>
          <w:tcPr>
            <w:tcW w:w="3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E03B52">
            <w:pPr>
              <w:keepNext w:val="0"/>
              <w:keepLines w:val="0"/>
              <w:widowControl/>
              <w:suppressLineNumbers w:val="0"/>
              <w:spacing w:line="300" w:lineRule="exact"/>
              <w:ind w:firstLine="0" w:firstLineChars="0"/>
              <w:jc w:val="center"/>
              <w:textAlignment w:val="center"/>
              <w:rPr>
                <w:rFonts w:hint="eastAsia" w:ascii="黑体" w:hAnsi="宋体" w:eastAsia="黑体" w:cs="黑体"/>
                <w:b/>
                <w:bCs/>
                <w:i w:val="0"/>
                <w:iCs w:val="0"/>
                <w:color w:val="auto"/>
                <w:sz w:val="24"/>
                <w:szCs w:val="24"/>
                <w:u w:val="none"/>
              </w:rPr>
            </w:pPr>
            <w:r>
              <w:rPr>
                <w:rFonts w:hint="eastAsia" w:ascii="黑体" w:hAnsi="宋体" w:eastAsia="黑体" w:cs="黑体"/>
                <w:b/>
                <w:bCs/>
                <w:i w:val="0"/>
                <w:iCs w:val="0"/>
                <w:color w:val="auto"/>
                <w:kern w:val="0"/>
                <w:sz w:val="24"/>
                <w:szCs w:val="24"/>
                <w:u w:val="none"/>
                <w:lang w:val="en-US" w:eastAsia="zh-CN" w:bidi="ar"/>
              </w:rPr>
              <w:t>项目名称</w:t>
            </w:r>
          </w:p>
        </w:tc>
        <w:tc>
          <w:tcPr>
            <w:tcW w:w="3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74A751">
            <w:pPr>
              <w:keepNext w:val="0"/>
              <w:keepLines w:val="0"/>
              <w:widowControl/>
              <w:suppressLineNumbers w:val="0"/>
              <w:spacing w:line="300" w:lineRule="exact"/>
              <w:ind w:firstLine="0" w:firstLineChars="0"/>
              <w:jc w:val="center"/>
              <w:textAlignment w:val="center"/>
              <w:rPr>
                <w:rFonts w:hint="eastAsia" w:ascii="黑体" w:hAnsi="宋体" w:eastAsia="黑体" w:cs="黑体"/>
                <w:b/>
                <w:bCs/>
                <w:i w:val="0"/>
                <w:iCs w:val="0"/>
                <w:color w:val="auto"/>
                <w:sz w:val="24"/>
                <w:szCs w:val="24"/>
                <w:u w:val="none"/>
              </w:rPr>
            </w:pPr>
            <w:r>
              <w:rPr>
                <w:rFonts w:hint="eastAsia" w:ascii="黑体" w:hAnsi="宋体" w:eastAsia="黑体" w:cs="黑体"/>
                <w:b/>
                <w:bCs/>
                <w:i w:val="0"/>
                <w:iCs w:val="0"/>
                <w:color w:val="auto"/>
                <w:kern w:val="0"/>
                <w:sz w:val="24"/>
                <w:szCs w:val="24"/>
                <w:u w:val="none"/>
                <w:lang w:val="en-US" w:eastAsia="zh-CN" w:bidi="ar"/>
              </w:rPr>
              <w:t>建设主体</w:t>
            </w:r>
          </w:p>
        </w:tc>
        <w:tc>
          <w:tcPr>
            <w:tcW w:w="13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ED4F2A">
            <w:pPr>
              <w:keepNext w:val="0"/>
              <w:keepLines w:val="0"/>
              <w:widowControl/>
              <w:suppressLineNumbers w:val="0"/>
              <w:spacing w:line="300" w:lineRule="exact"/>
              <w:ind w:firstLine="0" w:firstLineChars="0"/>
              <w:jc w:val="center"/>
              <w:textAlignment w:val="center"/>
              <w:rPr>
                <w:rFonts w:hint="eastAsia" w:ascii="黑体" w:hAnsi="宋体" w:eastAsia="黑体" w:cs="黑体"/>
                <w:b/>
                <w:bCs/>
                <w:i w:val="0"/>
                <w:iCs w:val="0"/>
                <w:color w:val="auto"/>
                <w:sz w:val="24"/>
                <w:szCs w:val="24"/>
                <w:u w:val="none"/>
              </w:rPr>
            </w:pPr>
            <w:r>
              <w:rPr>
                <w:rFonts w:hint="eastAsia" w:ascii="黑体" w:hAnsi="宋体" w:eastAsia="黑体" w:cs="黑体"/>
                <w:b/>
                <w:bCs/>
                <w:i w:val="0"/>
                <w:iCs w:val="0"/>
                <w:color w:val="auto"/>
                <w:kern w:val="0"/>
                <w:sz w:val="24"/>
                <w:szCs w:val="24"/>
                <w:u w:val="none"/>
                <w:lang w:val="en-US" w:eastAsia="zh-CN" w:bidi="ar"/>
              </w:rPr>
              <w:t>建设内容</w:t>
            </w:r>
          </w:p>
        </w:tc>
        <w:tc>
          <w:tcPr>
            <w:tcW w:w="14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F38550">
            <w:pPr>
              <w:keepNext w:val="0"/>
              <w:keepLines w:val="0"/>
              <w:widowControl/>
              <w:suppressLineNumbers w:val="0"/>
              <w:spacing w:line="300" w:lineRule="exact"/>
              <w:ind w:firstLine="0" w:firstLineChars="0"/>
              <w:jc w:val="center"/>
              <w:textAlignment w:val="center"/>
              <w:rPr>
                <w:rFonts w:hint="eastAsia" w:ascii="黑体" w:hAnsi="宋体" w:eastAsia="黑体" w:cs="黑体"/>
                <w:b/>
                <w:bCs/>
                <w:i w:val="0"/>
                <w:iCs w:val="0"/>
                <w:color w:val="auto"/>
                <w:sz w:val="24"/>
                <w:szCs w:val="24"/>
                <w:u w:val="none"/>
              </w:rPr>
            </w:pPr>
            <w:r>
              <w:rPr>
                <w:rFonts w:hint="eastAsia" w:ascii="黑体" w:hAnsi="宋体" w:eastAsia="黑体" w:cs="黑体"/>
                <w:b/>
                <w:bCs/>
                <w:i w:val="0"/>
                <w:iCs w:val="0"/>
                <w:color w:val="auto"/>
                <w:kern w:val="0"/>
                <w:sz w:val="24"/>
                <w:szCs w:val="24"/>
                <w:u w:val="none"/>
                <w:lang w:val="en-US" w:eastAsia="zh-CN" w:bidi="ar"/>
              </w:rPr>
              <w:t>中央财政奖补资金支持建设内容</w:t>
            </w:r>
          </w:p>
        </w:tc>
        <w:tc>
          <w:tcPr>
            <w:tcW w:w="3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A6C2E4">
            <w:pPr>
              <w:keepNext w:val="0"/>
              <w:keepLines w:val="0"/>
              <w:widowControl/>
              <w:suppressLineNumbers w:val="0"/>
              <w:spacing w:line="300" w:lineRule="exact"/>
              <w:ind w:firstLine="0" w:firstLineChars="0"/>
              <w:jc w:val="center"/>
              <w:textAlignment w:val="center"/>
              <w:rPr>
                <w:rFonts w:hint="eastAsia" w:ascii="黑体" w:hAnsi="宋体" w:eastAsia="黑体" w:cs="黑体"/>
                <w:b/>
                <w:bCs/>
                <w:i w:val="0"/>
                <w:iCs w:val="0"/>
                <w:color w:val="auto"/>
                <w:sz w:val="24"/>
                <w:szCs w:val="24"/>
                <w:u w:val="none"/>
              </w:rPr>
            </w:pPr>
            <w:r>
              <w:rPr>
                <w:rFonts w:hint="eastAsia" w:ascii="黑体" w:hAnsi="宋体" w:eastAsia="黑体" w:cs="黑体"/>
                <w:b/>
                <w:bCs/>
                <w:i w:val="0"/>
                <w:iCs w:val="0"/>
                <w:color w:val="auto"/>
                <w:kern w:val="0"/>
                <w:sz w:val="24"/>
                <w:szCs w:val="24"/>
                <w:u w:val="none"/>
                <w:lang w:val="en-US" w:eastAsia="zh-CN" w:bidi="ar"/>
              </w:rPr>
              <w:t>支持方式</w:t>
            </w:r>
          </w:p>
        </w:tc>
        <w:tc>
          <w:tcPr>
            <w:tcW w:w="4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D44E99">
            <w:pPr>
              <w:keepNext w:val="0"/>
              <w:keepLines w:val="0"/>
              <w:widowControl/>
              <w:suppressLineNumbers w:val="0"/>
              <w:spacing w:line="300" w:lineRule="exact"/>
              <w:ind w:firstLine="0" w:firstLineChars="0"/>
              <w:jc w:val="center"/>
              <w:textAlignment w:val="center"/>
              <w:rPr>
                <w:rFonts w:hint="eastAsia" w:ascii="黑体" w:hAnsi="宋体" w:eastAsia="黑体" w:cs="黑体"/>
                <w:b/>
                <w:bCs/>
                <w:i w:val="0"/>
                <w:iCs w:val="0"/>
                <w:color w:val="auto"/>
                <w:sz w:val="24"/>
                <w:szCs w:val="24"/>
                <w:u w:val="none"/>
              </w:rPr>
            </w:pPr>
            <w:r>
              <w:rPr>
                <w:rFonts w:hint="eastAsia" w:ascii="黑体" w:hAnsi="宋体" w:eastAsia="黑体" w:cs="黑体"/>
                <w:b/>
                <w:bCs/>
                <w:i w:val="0"/>
                <w:iCs w:val="0"/>
                <w:color w:val="auto"/>
                <w:kern w:val="0"/>
                <w:sz w:val="24"/>
                <w:szCs w:val="24"/>
                <w:u w:val="none"/>
                <w:lang w:val="en-US" w:eastAsia="zh-CN" w:bidi="ar"/>
              </w:rPr>
              <w:t>支持金额（万元）</w:t>
            </w:r>
          </w:p>
        </w:tc>
        <w:tc>
          <w:tcPr>
            <w:tcW w:w="61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5A0285">
            <w:pPr>
              <w:keepNext w:val="0"/>
              <w:keepLines w:val="0"/>
              <w:widowControl/>
              <w:suppressLineNumbers w:val="0"/>
              <w:spacing w:line="300" w:lineRule="exact"/>
              <w:ind w:firstLine="0" w:firstLineChars="0"/>
              <w:jc w:val="center"/>
              <w:textAlignment w:val="center"/>
              <w:rPr>
                <w:rFonts w:hint="eastAsia" w:ascii="黑体" w:hAnsi="宋体" w:eastAsia="黑体" w:cs="黑体"/>
                <w:b/>
                <w:bCs/>
                <w:i w:val="0"/>
                <w:iCs w:val="0"/>
                <w:color w:val="auto"/>
                <w:sz w:val="24"/>
                <w:szCs w:val="24"/>
                <w:u w:val="none"/>
              </w:rPr>
            </w:pPr>
            <w:r>
              <w:rPr>
                <w:rFonts w:hint="eastAsia" w:ascii="黑体" w:hAnsi="宋体" w:eastAsia="黑体" w:cs="黑体"/>
                <w:b/>
                <w:bCs/>
                <w:i w:val="0"/>
                <w:iCs w:val="0"/>
                <w:color w:val="auto"/>
                <w:kern w:val="0"/>
                <w:sz w:val="24"/>
                <w:szCs w:val="24"/>
                <w:u w:val="none"/>
                <w:lang w:val="en-US" w:eastAsia="zh-CN" w:bidi="ar"/>
              </w:rPr>
              <w:t>年度资金使用计划</w:t>
            </w:r>
          </w:p>
        </w:tc>
      </w:tr>
      <w:tr w14:paraId="2BD04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5234B">
            <w:pPr>
              <w:spacing w:line="300" w:lineRule="exact"/>
              <w:jc w:val="center"/>
              <w:rPr>
                <w:rFonts w:hint="eastAsia" w:ascii="黑体" w:hAnsi="宋体" w:eastAsia="黑体" w:cs="黑体"/>
                <w:b/>
                <w:bCs/>
                <w:i w:val="0"/>
                <w:iCs w:val="0"/>
                <w:color w:val="auto"/>
                <w:sz w:val="24"/>
                <w:szCs w:val="24"/>
                <w:u w:val="none"/>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6473C">
            <w:pPr>
              <w:spacing w:line="300" w:lineRule="exact"/>
              <w:jc w:val="center"/>
              <w:rPr>
                <w:rFonts w:hint="eastAsia" w:ascii="黑体" w:hAnsi="宋体" w:eastAsia="黑体" w:cs="黑体"/>
                <w:b/>
                <w:bCs/>
                <w:i w:val="0"/>
                <w:iCs w:val="0"/>
                <w:color w:val="auto"/>
                <w:sz w:val="24"/>
                <w:szCs w:val="24"/>
                <w:u w:val="none"/>
              </w:rPr>
            </w:pPr>
          </w:p>
        </w:tc>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D5531">
            <w:pPr>
              <w:spacing w:line="300" w:lineRule="exact"/>
              <w:jc w:val="center"/>
              <w:rPr>
                <w:rFonts w:hint="eastAsia" w:ascii="黑体" w:hAnsi="宋体" w:eastAsia="黑体" w:cs="黑体"/>
                <w:b/>
                <w:bCs/>
                <w:i w:val="0"/>
                <w:iCs w:val="0"/>
                <w:color w:val="auto"/>
                <w:sz w:val="24"/>
                <w:szCs w:val="24"/>
                <w:u w:val="none"/>
              </w:rPr>
            </w:pPr>
          </w:p>
        </w:tc>
        <w:tc>
          <w:tcPr>
            <w:tcW w:w="1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CC538">
            <w:pPr>
              <w:spacing w:line="300" w:lineRule="exact"/>
              <w:jc w:val="center"/>
              <w:rPr>
                <w:rFonts w:hint="eastAsia" w:ascii="黑体" w:hAnsi="宋体" w:eastAsia="黑体" w:cs="黑体"/>
                <w:b/>
                <w:bCs/>
                <w:i w:val="0"/>
                <w:iCs w:val="0"/>
                <w:color w:val="auto"/>
                <w:sz w:val="24"/>
                <w:szCs w:val="24"/>
                <w:u w:val="none"/>
              </w:rPr>
            </w:pPr>
          </w:p>
        </w:tc>
        <w:tc>
          <w:tcPr>
            <w:tcW w:w="1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534557">
            <w:pPr>
              <w:spacing w:line="300" w:lineRule="exact"/>
              <w:jc w:val="center"/>
              <w:rPr>
                <w:rFonts w:hint="eastAsia" w:ascii="黑体" w:hAnsi="宋体" w:eastAsia="黑体" w:cs="黑体"/>
                <w:b/>
                <w:bCs/>
                <w:i w:val="0"/>
                <w:iCs w:val="0"/>
                <w:color w:val="auto"/>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B1ADD">
            <w:pPr>
              <w:spacing w:line="300" w:lineRule="exact"/>
              <w:jc w:val="center"/>
              <w:rPr>
                <w:rFonts w:hint="eastAsia" w:ascii="黑体" w:hAnsi="宋体" w:eastAsia="黑体" w:cs="黑体"/>
                <w:b/>
                <w:bCs/>
                <w:i w:val="0"/>
                <w:iCs w:val="0"/>
                <w:color w:val="auto"/>
                <w:sz w:val="24"/>
                <w:szCs w:val="24"/>
                <w:u w:val="none"/>
              </w:rPr>
            </w:pPr>
          </w:p>
        </w:tc>
        <w:tc>
          <w:tcPr>
            <w:tcW w:w="4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4B662B">
            <w:pPr>
              <w:spacing w:line="300" w:lineRule="exact"/>
              <w:jc w:val="center"/>
              <w:rPr>
                <w:rFonts w:hint="eastAsia" w:ascii="黑体" w:hAnsi="宋体" w:eastAsia="黑体" w:cs="黑体"/>
                <w:b/>
                <w:bCs/>
                <w:i w:val="0"/>
                <w:iCs w:val="0"/>
                <w:color w:val="auto"/>
                <w:sz w:val="24"/>
                <w:szCs w:val="24"/>
                <w:u w:val="none"/>
              </w:rPr>
            </w:pP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18CB2B">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2024</w:t>
            </w:r>
            <w:r>
              <w:rPr>
                <w:rFonts w:hint="eastAsia" w:ascii="黑体" w:hAnsi="宋体" w:eastAsia="黑体" w:cs="黑体"/>
                <w:b/>
                <w:bCs/>
                <w:i w:val="0"/>
                <w:iCs w:val="0"/>
                <w:color w:val="auto"/>
                <w:kern w:val="0"/>
                <w:sz w:val="24"/>
                <w:szCs w:val="24"/>
                <w:u w:val="none"/>
                <w:lang w:val="en-US" w:eastAsia="zh-CN" w:bidi="ar"/>
              </w:rPr>
              <w:t>年度</w:t>
            </w:r>
          </w:p>
        </w:tc>
        <w:tc>
          <w:tcPr>
            <w:tcW w:w="3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B7EB42">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2026</w:t>
            </w:r>
            <w:r>
              <w:rPr>
                <w:rFonts w:hint="eastAsia" w:ascii="黑体" w:hAnsi="宋体" w:eastAsia="黑体" w:cs="黑体"/>
                <w:b/>
                <w:bCs/>
                <w:i w:val="0"/>
                <w:iCs w:val="0"/>
                <w:color w:val="auto"/>
                <w:kern w:val="0"/>
                <w:sz w:val="24"/>
                <w:szCs w:val="24"/>
                <w:u w:val="none"/>
                <w:lang w:val="en-US" w:eastAsia="zh-CN" w:bidi="ar"/>
              </w:rPr>
              <w:t>年度</w:t>
            </w:r>
          </w:p>
        </w:tc>
      </w:tr>
      <w:tr w14:paraId="002FD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27666">
            <w:pPr>
              <w:spacing w:line="300" w:lineRule="exact"/>
              <w:jc w:val="center"/>
              <w:rPr>
                <w:rFonts w:hint="eastAsia" w:ascii="黑体" w:hAnsi="宋体" w:eastAsia="黑体" w:cs="黑体"/>
                <w:b/>
                <w:bCs/>
                <w:i w:val="0"/>
                <w:iCs w:val="0"/>
                <w:color w:val="auto"/>
                <w:sz w:val="24"/>
                <w:szCs w:val="24"/>
                <w:u w:val="none"/>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82968">
            <w:pPr>
              <w:spacing w:line="300" w:lineRule="exact"/>
              <w:jc w:val="center"/>
              <w:rPr>
                <w:rFonts w:hint="eastAsia" w:ascii="黑体" w:hAnsi="宋体" w:eastAsia="黑体" w:cs="黑体"/>
                <w:b/>
                <w:bCs/>
                <w:i w:val="0"/>
                <w:iCs w:val="0"/>
                <w:color w:val="auto"/>
                <w:sz w:val="24"/>
                <w:szCs w:val="24"/>
                <w:u w:val="none"/>
              </w:rPr>
            </w:pPr>
          </w:p>
        </w:tc>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525282">
            <w:pPr>
              <w:spacing w:line="300" w:lineRule="exact"/>
              <w:jc w:val="center"/>
              <w:rPr>
                <w:rFonts w:hint="eastAsia" w:ascii="黑体" w:hAnsi="宋体" w:eastAsia="黑体" w:cs="黑体"/>
                <w:b/>
                <w:bCs/>
                <w:i w:val="0"/>
                <w:iCs w:val="0"/>
                <w:color w:val="auto"/>
                <w:sz w:val="24"/>
                <w:szCs w:val="24"/>
                <w:u w:val="none"/>
              </w:rPr>
            </w:pPr>
          </w:p>
        </w:tc>
        <w:tc>
          <w:tcPr>
            <w:tcW w:w="1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A0E4F">
            <w:pPr>
              <w:spacing w:line="300" w:lineRule="exact"/>
              <w:jc w:val="center"/>
              <w:rPr>
                <w:rFonts w:hint="eastAsia" w:ascii="黑体" w:hAnsi="宋体" w:eastAsia="黑体" w:cs="黑体"/>
                <w:b/>
                <w:bCs/>
                <w:i w:val="0"/>
                <w:iCs w:val="0"/>
                <w:color w:val="auto"/>
                <w:sz w:val="24"/>
                <w:szCs w:val="24"/>
                <w:u w:val="none"/>
              </w:rPr>
            </w:pPr>
          </w:p>
        </w:tc>
        <w:tc>
          <w:tcPr>
            <w:tcW w:w="1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BB0247">
            <w:pPr>
              <w:spacing w:line="300" w:lineRule="exact"/>
              <w:jc w:val="center"/>
              <w:rPr>
                <w:rFonts w:hint="eastAsia" w:ascii="黑体" w:hAnsi="宋体" w:eastAsia="黑体" w:cs="黑体"/>
                <w:b/>
                <w:bCs/>
                <w:i w:val="0"/>
                <w:iCs w:val="0"/>
                <w:color w:val="auto"/>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76E02">
            <w:pPr>
              <w:spacing w:line="300" w:lineRule="exact"/>
              <w:jc w:val="center"/>
              <w:rPr>
                <w:rFonts w:hint="eastAsia" w:ascii="黑体" w:hAnsi="宋体" w:eastAsia="黑体" w:cs="黑体"/>
                <w:b/>
                <w:bCs/>
                <w:i w:val="0"/>
                <w:iCs w:val="0"/>
                <w:color w:val="auto"/>
                <w:sz w:val="24"/>
                <w:szCs w:val="24"/>
                <w:u w:val="none"/>
              </w:rPr>
            </w:pPr>
          </w:p>
        </w:tc>
        <w:tc>
          <w:tcPr>
            <w:tcW w:w="4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D84B2">
            <w:pPr>
              <w:spacing w:line="300" w:lineRule="exact"/>
              <w:jc w:val="center"/>
              <w:rPr>
                <w:rFonts w:hint="eastAsia" w:ascii="黑体" w:hAnsi="宋体" w:eastAsia="黑体" w:cs="黑体"/>
                <w:b/>
                <w:bCs/>
                <w:i w:val="0"/>
                <w:iCs w:val="0"/>
                <w:color w:val="auto"/>
                <w:sz w:val="24"/>
                <w:szCs w:val="24"/>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83D2C">
            <w:pPr>
              <w:spacing w:line="300" w:lineRule="exact"/>
              <w:jc w:val="center"/>
              <w:rPr>
                <w:rFonts w:hint="default" w:ascii="Times New Roman" w:hAnsi="Times New Roman" w:eastAsia="宋体" w:cs="Times New Roman"/>
                <w:b/>
                <w:bCs/>
                <w:i w:val="0"/>
                <w:iCs w:val="0"/>
                <w:color w:val="auto"/>
                <w:sz w:val="24"/>
                <w:szCs w:val="24"/>
                <w:u w:val="none"/>
              </w:rPr>
            </w:pPr>
          </w:p>
        </w:tc>
        <w:tc>
          <w:tcPr>
            <w:tcW w:w="3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9F4C12">
            <w:pPr>
              <w:spacing w:line="300" w:lineRule="exact"/>
              <w:jc w:val="center"/>
              <w:rPr>
                <w:rFonts w:hint="default" w:ascii="Times New Roman" w:hAnsi="Times New Roman" w:eastAsia="宋体" w:cs="Times New Roman"/>
                <w:b/>
                <w:bCs/>
                <w:i w:val="0"/>
                <w:iCs w:val="0"/>
                <w:color w:val="auto"/>
                <w:sz w:val="24"/>
                <w:szCs w:val="24"/>
                <w:u w:val="none"/>
              </w:rPr>
            </w:pPr>
          </w:p>
        </w:tc>
      </w:tr>
      <w:tr w14:paraId="4E14A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0DB29">
            <w:pPr>
              <w:spacing w:line="300" w:lineRule="exact"/>
              <w:jc w:val="center"/>
              <w:rPr>
                <w:rFonts w:hint="default" w:ascii="Times New Roman" w:hAnsi="Times New Roman" w:eastAsia="宋体" w:cs="Times New Roman"/>
                <w:b/>
                <w:bCs/>
                <w:i w:val="0"/>
                <w:iCs w:val="0"/>
                <w:color w:val="auto"/>
                <w:sz w:val="24"/>
                <w:szCs w:val="24"/>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D9238">
            <w:pPr>
              <w:keepNext w:val="0"/>
              <w:keepLines w:val="0"/>
              <w:widowControl/>
              <w:suppressLineNumbers w:val="0"/>
              <w:spacing w:line="300" w:lineRule="exact"/>
              <w:ind w:firstLine="0" w:firstLineChars="0"/>
              <w:jc w:val="center"/>
              <w:textAlignment w:val="center"/>
              <w:rPr>
                <w:rFonts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合计</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5A004">
            <w:pPr>
              <w:spacing w:line="300" w:lineRule="exact"/>
              <w:jc w:val="center"/>
              <w:rPr>
                <w:rFonts w:hint="default" w:ascii="Times New Roman" w:hAnsi="Times New Roman" w:eastAsia="宋体" w:cs="Times New Roman"/>
                <w:b/>
                <w:bCs/>
                <w:i w:val="0"/>
                <w:iCs w:val="0"/>
                <w:color w:val="auto"/>
                <w:sz w:val="24"/>
                <w:szCs w:val="24"/>
                <w:u w:val="none"/>
              </w:rPr>
            </w:pPr>
          </w:p>
        </w:tc>
        <w:tc>
          <w:tcPr>
            <w:tcW w:w="1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4668C">
            <w:pPr>
              <w:spacing w:line="300" w:lineRule="exact"/>
              <w:jc w:val="center"/>
              <w:rPr>
                <w:rFonts w:hint="default" w:ascii="Times New Roman" w:hAnsi="Times New Roman" w:eastAsia="宋体" w:cs="Times New Roman"/>
                <w:b/>
                <w:bCs/>
                <w:i w:val="0"/>
                <w:iCs w:val="0"/>
                <w:color w:val="auto"/>
                <w:sz w:val="24"/>
                <w:szCs w:val="24"/>
                <w:u w:val="none"/>
              </w:rPr>
            </w:pPr>
          </w:p>
        </w:tc>
        <w:tc>
          <w:tcPr>
            <w:tcW w:w="1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A9C2C">
            <w:pPr>
              <w:spacing w:line="300" w:lineRule="exact"/>
              <w:jc w:val="center"/>
              <w:rPr>
                <w:rFonts w:hint="default" w:ascii="Times New Roman" w:hAnsi="Times New Roman" w:eastAsia="宋体" w:cs="Times New Roman"/>
                <w:b/>
                <w:bCs/>
                <w:i w:val="0"/>
                <w:iCs w:val="0"/>
                <w:color w:val="auto"/>
                <w:sz w:val="24"/>
                <w:szCs w:val="24"/>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9A359">
            <w:pPr>
              <w:spacing w:line="300" w:lineRule="exact"/>
              <w:jc w:val="center"/>
              <w:rPr>
                <w:rFonts w:hint="default" w:ascii="Times New Roman" w:hAnsi="Times New Roman" w:eastAsia="宋体" w:cs="Times New Roman"/>
                <w:b/>
                <w:bCs/>
                <w:i w:val="0"/>
                <w:iCs w:val="0"/>
                <w:color w:val="auto"/>
                <w:sz w:val="24"/>
                <w:szCs w:val="24"/>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05A27">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 xml:space="preserve">7000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87CE5">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 xml:space="preserve">3000 </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44F97">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 xml:space="preserve">4000 </w:t>
            </w:r>
          </w:p>
        </w:tc>
      </w:tr>
      <w:tr w14:paraId="1C390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0ADC74">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w:t>
            </w:r>
          </w:p>
        </w:tc>
        <w:tc>
          <w:tcPr>
            <w:tcW w:w="3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CA1075">
            <w:pPr>
              <w:keepNext w:val="0"/>
              <w:keepLines w:val="0"/>
              <w:widowControl/>
              <w:suppressLineNumbers w:val="0"/>
              <w:spacing w:line="300" w:lineRule="exact"/>
              <w:ind w:firstLine="0" w:firstLineChars="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种鹅标准化育种基地建设</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DD9B2">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汕头市澄海区潮鹏生态养殖有限公司</w:t>
            </w:r>
          </w:p>
        </w:tc>
        <w:tc>
          <w:tcPr>
            <w:tcW w:w="1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91C1D">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财政资金用于：</w:t>
            </w:r>
            <w:r>
              <w:rPr>
                <w:rFonts w:hint="eastAsia" w:ascii="仿宋_GB2312" w:hAnsi="宋体" w:eastAsia="仿宋_GB2312" w:cs="仿宋_GB2312"/>
                <w:b/>
                <w:bCs/>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1.改造升级鹅舍2个，共1200平方米，配套基础设施一套；</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2.购置洗谷拌料机3台；</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b/>
                <w:bCs/>
                <w:i w:val="0"/>
                <w:iCs w:val="0"/>
                <w:color w:val="auto"/>
                <w:kern w:val="0"/>
                <w:sz w:val="24"/>
                <w:szCs w:val="24"/>
                <w:u w:val="none"/>
                <w:lang w:val="en-US" w:eastAsia="zh-CN" w:bidi="ar"/>
              </w:rPr>
              <w:t>社会资本用于：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1.新增种鹅一批，配套相关饲料、鹅药等原材料；</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2.场地租金；相关人员开支及水电开支，业务费等。</w:t>
            </w:r>
          </w:p>
        </w:tc>
        <w:tc>
          <w:tcPr>
            <w:tcW w:w="1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0ADD6">
            <w:pPr>
              <w:keepNext w:val="0"/>
              <w:keepLines w:val="0"/>
              <w:widowControl/>
              <w:suppressLineNumbers w:val="0"/>
              <w:spacing w:line="300" w:lineRule="exact"/>
              <w:ind w:firstLine="0" w:firstLineChars="0"/>
              <w:jc w:val="both"/>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财政资金用于：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1.改造升级鹅舍2个，共1200平方米，配套基础设施一套；</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2.购置洗谷拌料机3台；</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E3322">
            <w:pPr>
              <w:keepNext w:val="0"/>
              <w:keepLines w:val="0"/>
              <w:widowControl/>
              <w:suppressLineNumbers w:val="0"/>
              <w:spacing w:line="300" w:lineRule="exact"/>
              <w:ind w:firstLine="0" w:firstLineChars="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直接补助</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BE930">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100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FE8F2">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100 </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7AED9">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0 </w:t>
            </w:r>
          </w:p>
        </w:tc>
      </w:tr>
      <w:tr w14:paraId="10405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0" w:hRule="atLeast"/>
        </w:trPr>
        <w:tc>
          <w:tcPr>
            <w:tcW w:w="1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5F5DD">
            <w:pPr>
              <w:spacing w:line="300" w:lineRule="exact"/>
              <w:jc w:val="center"/>
              <w:rPr>
                <w:rFonts w:hint="default" w:ascii="Times New Roman" w:hAnsi="Times New Roman" w:eastAsia="宋体" w:cs="Times New Roman"/>
                <w:i w:val="0"/>
                <w:iCs w:val="0"/>
                <w:color w:val="auto"/>
                <w:sz w:val="24"/>
                <w:szCs w:val="24"/>
                <w:u w:val="none"/>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D19838">
            <w:pPr>
              <w:spacing w:line="300" w:lineRule="exact"/>
              <w:jc w:val="center"/>
              <w:rPr>
                <w:rFonts w:hint="eastAsia" w:ascii="仿宋_GB2312" w:hAnsi="宋体" w:eastAsia="仿宋_GB2312" w:cs="仿宋_GB2312"/>
                <w:i w:val="0"/>
                <w:iCs w:val="0"/>
                <w:color w:val="auto"/>
                <w:sz w:val="24"/>
                <w:szCs w:val="24"/>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FA488">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汕头市澄海区鸿图狮头鹅养殖有限公司</w:t>
            </w:r>
          </w:p>
        </w:tc>
        <w:tc>
          <w:tcPr>
            <w:tcW w:w="1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B00B3">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财政资金用于：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1.新建钢结构孵化房及配套约600平方米，转运筐500个、鹅苗运输车1辆；新增50万用于购置孵化器、新建鹅舍1个及配套运动池等。</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2.新建鹅舍600平方米，鹅活动场约3000平方米，活动水池1100平方米，购置孵化机11台，出雏机2台。</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b/>
                <w:bCs/>
                <w:i w:val="0"/>
                <w:iCs w:val="0"/>
                <w:color w:val="auto"/>
                <w:kern w:val="0"/>
                <w:sz w:val="24"/>
                <w:szCs w:val="24"/>
                <w:u w:val="none"/>
                <w:lang w:val="en-US" w:eastAsia="zh-CN" w:bidi="ar"/>
              </w:rPr>
              <w:t>社会资本用于：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1.种鹅饲料采购；</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2.防疫、保健投入品采购一批，用于基地种鹅一年使用量；</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3.孵化房、鹅舍土地租金2年。</w:t>
            </w:r>
          </w:p>
        </w:tc>
        <w:tc>
          <w:tcPr>
            <w:tcW w:w="1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EC18B">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财政资金用于：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1.新建钢结构孵化房及配套约600平方米，转运筐500个、鹅苗运输车1辆；新增50万用于购置孵化器、新建鹅舍1个及配套运动池等。</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2.新建鹅舍600平方米，鹅活动场约3000平方米，活动水池1100平方米，购置孵化机11台，出雏机2台。</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10510">
            <w:pPr>
              <w:keepNext w:val="0"/>
              <w:keepLines w:val="0"/>
              <w:widowControl/>
              <w:suppressLineNumbers w:val="0"/>
              <w:spacing w:line="300" w:lineRule="exact"/>
              <w:ind w:firstLine="0" w:firstLineChars="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直接补助</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4D6B5">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117</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5A2E2">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117 </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AB66E">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0 </w:t>
            </w:r>
          </w:p>
        </w:tc>
      </w:tr>
      <w:tr w14:paraId="5D190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8" w:hRule="atLeast"/>
        </w:trPr>
        <w:tc>
          <w:tcPr>
            <w:tcW w:w="1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99C53">
            <w:pPr>
              <w:spacing w:line="300" w:lineRule="exact"/>
              <w:jc w:val="center"/>
              <w:rPr>
                <w:rFonts w:hint="default" w:ascii="Times New Roman" w:hAnsi="Times New Roman" w:eastAsia="宋体" w:cs="Times New Roman"/>
                <w:i w:val="0"/>
                <w:iCs w:val="0"/>
                <w:color w:val="auto"/>
                <w:sz w:val="24"/>
                <w:szCs w:val="24"/>
                <w:u w:val="none"/>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DB3CF">
            <w:pPr>
              <w:spacing w:line="300" w:lineRule="exact"/>
              <w:jc w:val="center"/>
              <w:rPr>
                <w:rFonts w:hint="eastAsia" w:ascii="仿宋_GB2312" w:hAnsi="宋体" w:eastAsia="仿宋_GB2312" w:cs="仿宋_GB2312"/>
                <w:i w:val="0"/>
                <w:iCs w:val="0"/>
                <w:color w:val="auto"/>
                <w:sz w:val="24"/>
                <w:szCs w:val="24"/>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187C6">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汕头市莲鸿禽业有限公司</w:t>
            </w:r>
          </w:p>
        </w:tc>
        <w:tc>
          <w:tcPr>
            <w:tcW w:w="1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8F14D">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财政资金用于：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1.鹅舍建设面积1800平方米。</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b/>
                <w:bCs/>
                <w:i w:val="0"/>
                <w:iCs w:val="0"/>
                <w:color w:val="auto"/>
                <w:kern w:val="0"/>
                <w:sz w:val="24"/>
                <w:szCs w:val="24"/>
                <w:u w:val="none"/>
                <w:lang w:val="en-US" w:eastAsia="zh-CN" w:bidi="ar"/>
              </w:rPr>
              <w:t>社会资本用于：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购买稻谷，饲料，鹅苗，土地流转，鹅保险，工资和水电费等费用。</w:t>
            </w:r>
          </w:p>
        </w:tc>
        <w:tc>
          <w:tcPr>
            <w:tcW w:w="1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60141">
            <w:pPr>
              <w:keepNext w:val="0"/>
              <w:keepLines w:val="0"/>
              <w:widowControl/>
              <w:suppressLineNumbers w:val="0"/>
              <w:spacing w:line="300" w:lineRule="exact"/>
              <w:ind w:firstLine="0" w:firstLineChars="0"/>
              <w:jc w:val="both"/>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财政资金用于：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1.鹅舍建设面积1800平方米。</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4E239">
            <w:pPr>
              <w:keepNext w:val="0"/>
              <w:keepLines w:val="0"/>
              <w:widowControl/>
              <w:suppressLineNumbers w:val="0"/>
              <w:spacing w:line="300" w:lineRule="exact"/>
              <w:ind w:firstLine="0" w:firstLineChars="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直接补助</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FFC87">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198</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7587F">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198 </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0F789">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0 </w:t>
            </w:r>
          </w:p>
        </w:tc>
      </w:tr>
      <w:tr w14:paraId="6468A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5" w:hRule="atLeast"/>
        </w:trPr>
        <w:tc>
          <w:tcPr>
            <w:tcW w:w="1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F8BCCA">
            <w:pPr>
              <w:spacing w:line="300" w:lineRule="exact"/>
              <w:jc w:val="center"/>
              <w:rPr>
                <w:rFonts w:hint="default" w:ascii="Times New Roman" w:hAnsi="Times New Roman" w:eastAsia="宋体" w:cs="Times New Roman"/>
                <w:i w:val="0"/>
                <w:iCs w:val="0"/>
                <w:color w:val="auto"/>
                <w:sz w:val="24"/>
                <w:szCs w:val="24"/>
                <w:u w:val="none"/>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277284">
            <w:pPr>
              <w:spacing w:line="300" w:lineRule="exact"/>
              <w:jc w:val="center"/>
              <w:rPr>
                <w:rFonts w:hint="eastAsia" w:ascii="仿宋_GB2312" w:hAnsi="宋体" w:eastAsia="仿宋_GB2312" w:cs="仿宋_GB2312"/>
                <w:i w:val="0"/>
                <w:iCs w:val="0"/>
                <w:color w:val="auto"/>
                <w:sz w:val="24"/>
                <w:szCs w:val="24"/>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0D279">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汕头市正治禽业有限公司</w:t>
            </w:r>
          </w:p>
        </w:tc>
        <w:tc>
          <w:tcPr>
            <w:tcW w:w="1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2D322">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财政资金用于：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1.鹅舍建设面积1400平方米和智能饲喂系统。</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2.建设鹅舍700平方米，无害化处理设施100平方米及配套设备1套。</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b/>
                <w:bCs/>
                <w:i w:val="0"/>
                <w:iCs w:val="0"/>
                <w:color w:val="auto"/>
                <w:kern w:val="0"/>
                <w:sz w:val="24"/>
                <w:szCs w:val="24"/>
                <w:u w:val="none"/>
                <w:lang w:val="en-US" w:eastAsia="zh-CN" w:bidi="ar"/>
              </w:rPr>
              <w:t>社会资本用于：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购买稻谷，饲料，鹅苗，工资和水电费，土地租金，鹅保险等费用。</w:t>
            </w:r>
          </w:p>
        </w:tc>
        <w:tc>
          <w:tcPr>
            <w:tcW w:w="1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D670E">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财政资金用于：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1.鹅舍建设面积1400平方米和智能饲喂系统。</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2.建设鹅舍700平方米，无害化处理设施100平方米及配套设备1套。</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61344">
            <w:pPr>
              <w:keepNext w:val="0"/>
              <w:keepLines w:val="0"/>
              <w:widowControl/>
              <w:suppressLineNumbers w:val="0"/>
              <w:spacing w:line="300" w:lineRule="exact"/>
              <w:ind w:firstLine="0" w:firstLineChars="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直接补助</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8F943">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285</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F8BC5">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285 </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23DAE">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0 </w:t>
            </w:r>
          </w:p>
        </w:tc>
      </w:tr>
      <w:tr w14:paraId="0DDE1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5" w:hRule="atLeast"/>
        </w:trPr>
        <w:tc>
          <w:tcPr>
            <w:tcW w:w="1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C9B593">
            <w:pPr>
              <w:spacing w:line="300" w:lineRule="exact"/>
              <w:jc w:val="center"/>
              <w:rPr>
                <w:rFonts w:hint="default" w:ascii="Times New Roman" w:hAnsi="Times New Roman" w:eastAsia="宋体" w:cs="Times New Roman"/>
                <w:i w:val="0"/>
                <w:iCs w:val="0"/>
                <w:color w:val="auto"/>
                <w:sz w:val="24"/>
                <w:szCs w:val="24"/>
                <w:u w:val="none"/>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D0900">
            <w:pPr>
              <w:spacing w:line="300" w:lineRule="exact"/>
              <w:jc w:val="center"/>
              <w:rPr>
                <w:rFonts w:hint="eastAsia" w:ascii="仿宋_GB2312" w:hAnsi="宋体" w:eastAsia="仿宋_GB2312" w:cs="仿宋_GB2312"/>
                <w:i w:val="0"/>
                <w:iCs w:val="0"/>
                <w:color w:val="auto"/>
                <w:sz w:val="24"/>
                <w:szCs w:val="24"/>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152AE">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汕头市进士洲农业发展有限公司</w:t>
            </w:r>
          </w:p>
        </w:tc>
        <w:tc>
          <w:tcPr>
            <w:tcW w:w="1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93BC2">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财政资金用于：</w:t>
            </w:r>
            <w:r>
              <w:rPr>
                <w:rFonts w:hint="eastAsia" w:ascii="仿宋_GB2312" w:hAnsi="宋体" w:eastAsia="仿宋_GB2312" w:cs="仿宋_GB2312"/>
                <w:b/>
                <w:bCs/>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1.建设鹅舍4个总面积3100平方米、鹅活动场3100平方米。</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2.活动水池1700平方米及水帘、卷帘、清粪等配套设施。</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b/>
                <w:bCs/>
                <w:i w:val="0"/>
                <w:iCs w:val="0"/>
                <w:color w:val="auto"/>
                <w:kern w:val="0"/>
                <w:sz w:val="24"/>
                <w:szCs w:val="24"/>
                <w:u w:val="none"/>
                <w:lang w:val="en-US" w:eastAsia="zh-CN" w:bidi="ar"/>
              </w:rPr>
              <w:t>社会资本用于：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1.建设种鹅鹅舍10500平方米；</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2.配套种鹅养殖区及鹅舍安装水电设施；</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3.配套养殖基地内道路基础；</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4.园区人员工资；</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5.供水、供电费用；</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6.饲料、兽药费用；</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7.种鹅费用；</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8.新增种鹅5万只。</w:t>
            </w:r>
          </w:p>
        </w:tc>
        <w:tc>
          <w:tcPr>
            <w:tcW w:w="1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FF684">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财政资金用于：</w:t>
            </w:r>
            <w:r>
              <w:rPr>
                <w:rFonts w:hint="eastAsia" w:ascii="仿宋_GB2312" w:hAnsi="宋体" w:eastAsia="仿宋_GB2312" w:cs="仿宋_GB2312"/>
                <w:b/>
                <w:bCs/>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1.建设鹅舍4个总面积3100平方米、鹅活动场3100平方米。</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2.活动水池1700平方米及水帘、卷帘、清粪等配套设施。</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E3580">
            <w:pPr>
              <w:keepNext w:val="0"/>
              <w:keepLines w:val="0"/>
              <w:widowControl/>
              <w:suppressLineNumbers w:val="0"/>
              <w:spacing w:line="300" w:lineRule="exact"/>
              <w:ind w:firstLine="0" w:firstLineChars="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直接补助</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5F8E4">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300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A900E">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300 </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A7C83">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0 </w:t>
            </w:r>
          </w:p>
        </w:tc>
      </w:tr>
      <w:tr w14:paraId="14702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7" w:hRule="atLeast"/>
        </w:trPr>
        <w:tc>
          <w:tcPr>
            <w:tcW w:w="1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1DE895">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w:t>
            </w:r>
          </w:p>
        </w:tc>
        <w:tc>
          <w:tcPr>
            <w:tcW w:w="3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FCA4AF">
            <w:pPr>
              <w:keepNext w:val="0"/>
              <w:keepLines w:val="0"/>
              <w:widowControl/>
              <w:suppressLineNumbers w:val="0"/>
              <w:spacing w:line="300" w:lineRule="exact"/>
              <w:ind w:firstLine="0" w:firstLineChars="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肉鹅标准化养殖基地建设</w:t>
            </w:r>
            <w:r>
              <w:rPr>
                <w:rFonts w:hint="default" w:ascii="Times New Roman" w:hAnsi="Times New Roman" w:eastAsia="仿宋_GB2312" w:cs="Times New Roman"/>
                <w:i w:val="0"/>
                <w:iCs w:val="0"/>
                <w:color w:val="auto"/>
                <w:kern w:val="0"/>
                <w:sz w:val="24"/>
                <w:szCs w:val="24"/>
                <w:u w:val="none"/>
                <w:lang w:val="en-US" w:eastAsia="zh-CN" w:bidi="ar"/>
              </w:rPr>
              <w:t xml:space="preserve"> </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6DD13">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广东佳信绿康农业科技有限公司</w:t>
            </w:r>
          </w:p>
        </w:tc>
        <w:tc>
          <w:tcPr>
            <w:tcW w:w="1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E9245">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财政资金用于：</w:t>
            </w:r>
            <w:r>
              <w:rPr>
                <w:rFonts w:hint="eastAsia" w:ascii="仿宋_GB2312" w:hAnsi="宋体" w:eastAsia="仿宋_GB2312" w:cs="仿宋_GB2312"/>
                <w:b/>
                <w:bCs/>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1.建设鹅舍3个约1800平方米，及鹅活动场约1700平方米，活动水池约520平方米等配套设施。</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2.建设钢结构仓储设施约850平方米及配套。</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b/>
                <w:bCs/>
                <w:i w:val="0"/>
                <w:iCs w:val="0"/>
                <w:color w:val="auto"/>
                <w:kern w:val="0"/>
                <w:sz w:val="24"/>
                <w:szCs w:val="24"/>
                <w:u w:val="none"/>
                <w:lang w:val="en-US" w:eastAsia="zh-CN" w:bidi="ar"/>
              </w:rPr>
              <w:t>社会资本用于：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购买饲料原料，饲料，鹅苗，工资和水电费等费用。</w:t>
            </w:r>
          </w:p>
        </w:tc>
        <w:tc>
          <w:tcPr>
            <w:tcW w:w="1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AF135">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财政资金用于：</w:t>
            </w:r>
            <w:r>
              <w:rPr>
                <w:rFonts w:hint="eastAsia" w:ascii="仿宋_GB2312" w:hAnsi="宋体" w:eastAsia="仿宋_GB2312" w:cs="仿宋_GB2312"/>
                <w:b/>
                <w:bCs/>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1.建设鹅舍3个约1800平方米，及鹅活动场约1700平方米，活动水池约520平方米等配套设施。</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2.建设钢结构仓储设施约850平方米及配套。</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71215">
            <w:pPr>
              <w:keepNext w:val="0"/>
              <w:keepLines w:val="0"/>
              <w:widowControl/>
              <w:suppressLineNumbers w:val="0"/>
              <w:spacing w:line="300" w:lineRule="exact"/>
              <w:ind w:firstLine="0" w:firstLineChars="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直接补助</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878D3">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163 </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7D328">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163 </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537C2">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0 </w:t>
            </w:r>
          </w:p>
        </w:tc>
      </w:tr>
      <w:tr w14:paraId="1C2B5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C6060">
            <w:pPr>
              <w:spacing w:line="300" w:lineRule="exact"/>
              <w:jc w:val="center"/>
              <w:rPr>
                <w:rFonts w:hint="default" w:ascii="Times New Roman" w:hAnsi="Times New Roman" w:eastAsia="宋体" w:cs="Times New Roman"/>
                <w:i w:val="0"/>
                <w:iCs w:val="0"/>
                <w:color w:val="auto"/>
                <w:sz w:val="24"/>
                <w:szCs w:val="24"/>
                <w:u w:val="none"/>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164CB">
            <w:pPr>
              <w:spacing w:line="300" w:lineRule="exact"/>
              <w:jc w:val="center"/>
              <w:rPr>
                <w:rFonts w:hint="eastAsia" w:ascii="仿宋_GB2312" w:hAnsi="宋体" w:eastAsia="仿宋_GB2312" w:cs="仿宋_GB2312"/>
                <w:i w:val="0"/>
                <w:iCs w:val="0"/>
                <w:color w:val="auto"/>
                <w:sz w:val="24"/>
                <w:szCs w:val="24"/>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D13C4">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汕头市莲鸿禽业有限公司</w:t>
            </w:r>
          </w:p>
        </w:tc>
        <w:tc>
          <w:tcPr>
            <w:tcW w:w="1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29295">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财政资金用于：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1.鹅舍建设1200平方米和小水池建设。</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2.新建育雏室一座约200平方，育雏栏设备及配套设施（双层层架）；活动场及配套（含活动场铺砖）1800平方米。</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b/>
                <w:bCs/>
                <w:i w:val="0"/>
                <w:iCs w:val="0"/>
                <w:color w:val="auto"/>
                <w:kern w:val="0"/>
                <w:sz w:val="24"/>
                <w:szCs w:val="24"/>
                <w:u w:val="none"/>
                <w:lang w:val="en-US" w:eastAsia="zh-CN" w:bidi="ar"/>
              </w:rPr>
              <w:t>社会资本用于：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1.建设鹅舍3000平方米，土地租赁，鹅保险；</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2.购买稻谷，饲料，鹅苗，工资和水电费等费用。</w:t>
            </w:r>
          </w:p>
        </w:tc>
        <w:tc>
          <w:tcPr>
            <w:tcW w:w="1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80C18">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财政资金用于：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1.鹅舍建设1200平方米和小水池建设。</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2.新建育雏室一座约200平方，育雏栏设备及配套设施（双层层架）；活动场及配套（含活动场铺砖）1800平方米。</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55292">
            <w:pPr>
              <w:keepNext w:val="0"/>
              <w:keepLines w:val="0"/>
              <w:widowControl/>
              <w:suppressLineNumbers w:val="0"/>
              <w:spacing w:line="300" w:lineRule="exact"/>
              <w:ind w:firstLine="0" w:firstLineChars="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直接补助</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9F074">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237 </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4D838">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237 </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2844B">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0 </w:t>
            </w:r>
          </w:p>
        </w:tc>
      </w:tr>
      <w:tr w14:paraId="186BA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5" w:hRule="atLeast"/>
        </w:trPr>
        <w:tc>
          <w:tcPr>
            <w:tcW w:w="1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15089">
            <w:pPr>
              <w:spacing w:line="300" w:lineRule="exact"/>
              <w:jc w:val="center"/>
              <w:rPr>
                <w:rFonts w:hint="default" w:ascii="Times New Roman" w:hAnsi="Times New Roman" w:eastAsia="宋体" w:cs="Times New Roman"/>
                <w:i w:val="0"/>
                <w:iCs w:val="0"/>
                <w:color w:val="auto"/>
                <w:sz w:val="24"/>
                <w:szCs w:val="24"/>
                <w:u w:val="none"/>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DF2292">
            <w:pPr>
              <w:spacing w:line="300" w:lineRule="exact"/>
              <w:jc w:val="center"/>
              <w:rPr>
                <w:rFonts w:hint="eastAsia" w:ascii="仿宋_GB2312" w:hAnsi="宋体" w:eastAsia="仿宋_GB2312" w:cs="仿宋_GB2312"/>
                <w:i w:val="0"/>
                <w:iCs w:val="0"/>
                <w:color w:val="auto"/>
                <w:sz w:val="24"/>
                <w:szCs w:val="24"/>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ECA37">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汕头市鸿裕农业科技有限公司</w:t>
            </w:r>
          </w:p>
        </w:tc>
        <w:tc>
          <w:tcPr>
            <w:tcW w:w="1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31D5A">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财政资金用于：</w:t>
            </w:r>
            <w:r>
              <w:rPr>
                <w:rFonts w:hint="eastAsia" w:ascii="仿宋_GB2312" w:hAnsi="宋体" w:eastAsia="仿宋_GB2312" w:cs="仿宋_GB2312"/>
                <w:b/>
                <w:bCs/>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1.建设新型层架鹅舍，搭建网架约5000平方米；</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2.育雏室约1000平方米；</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b/>
                <w:bCs/>
                <w:i w:val="0"/>
                <w:iCs w:val="0"/>
                <w:color w:val="auto"/>
                <w:kern w:val="0"/>
                <w:sz w:val="24"/>
                <w:szCs w:val="24"/>
                <w:u w:val="none"/>
                <w:lang w:val="en-US" w:eastAsia="zh-CN" w:bidi="ar"/>
              </w:rPr>
              <w:t>社会资本用于: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1.建设新型层架鹅舍，搭建网架约10000平方米，配备网约15000平方米；</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2.建设饲料间约1000平方米，鹅舍运动场约2800平方米，和相对应运动下水坡；</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3.建设药房，电机房，化验室，检验室等；</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4.建设鹅舍进水系统，水区围网；</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5.饲料混合机，保温设备，运输车；</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6.养殖场场内外监控系统，互联网；</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7.供水设备，供电设备，供水费用，供电费用；</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8.饲料费用，兽药费用，鹅苗费用；</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9.养殖场人员费用。</w:t>
            </w:r>
          </w:p>
        </w:tc>
        <w:tc>
          <w:tcPr>
            <w:tcW w:w="1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6DAF6">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财政资金用于：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1.建设新型层架鹅舍，搭建网架约5000平方米；</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2.育雏室约1000平方米；</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761C4">
            <w:pPr>
              <w:keepNext w:val="0"/>
              <w:keepLines w:val="0"/>
              <w:widowControl/>
              <w:suppressLineNumbers w:val="0"/>
              <w:spacing w:line="300" w:lineRule="exact"/>
              <w:ind w:firstLine="0" w:firstLineChars="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直接补助</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6D577">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300 </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0A209">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300 </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D6856">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0 </w:t>
            </w:r>
          </w:p>
        </w:tc>
      </w:tr>
      <w:tr w14:paraId="2E2FB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7" w:hRule="atLeast"/>
        </w:trPr>
        <w:tc>
          <w:tcPr>
            <w:tcW w:w="1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24032">
            <w:pPr>
              <w:spacing w:line="300" w:lineRule="exact"/>
              <w:jc w:val="center"/>
              <w:rPr>
                <w:rFonts w:hint="default" w:ascii="Times New Roman" w:hAnsi="Times New Roman" w:eastAsia="宋体" w:cs="Times New Roman"/>
                <w:i w:val="0"/>
                <w:iCs w:val="0"/>
                <w:color w:val="auto"/>
                <w:sz w:val="24"/>
                <w:szCs w:val="24"/>
                <w:u w:val="none"/>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277E7">
            <w:pPr>
              <w:spacing w:line="300" w:lineRule="exact"/>
              <w:jc w:val="center"/>
              <w:rPr>
                <w:rFonts w:hint="eastAsia" w:ascii="仿宋_GB2312" w:hAnsi="宋体" w:eastAsia="仿宋_GB2312" w:cs="仿宋_GB2312"/>
                <w:i w:val="0"/>
                <w:iCs w:val="0"/>
                <w:color w:val="auto"/>
                <w:sz w:val="24"/>
                <w:szCs w:val="24"/>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E79EF">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汕头市进士洲农业发展有限公司</w:t>
            </w:r>
          </w:p>
        </w:tc>
        <w:tc>
          <w:tcPr>
            <w:tcW w:w="1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7317C">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财政资金用于：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1.建设鹅舍4个总面积3000平方米、鹅活动场3000平方米。</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2.活动水池1600平方米及水帘、卷帘、清粪等配套设施。</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b/>
                <w:bCs/>
                <w:i w:val="0"/>
                <w:iCs w:val="0"/>
                <w:color w:val="auto"/>
                <w:kern w:val="0"/>
                <w:sz w:val="24"/>
                <w:szCs w:val="24"/>
                <w:u w:val="none"/>
                <w:lang w:val="en-US" w:eastAsia="zh-CN" w:bidi="ar"/>
              </w:rPr>
              <w:t>社会资本用于：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1.建设肉鹅鹅舍，泳浴场；</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2.泳浴场水体粪污环保处理及防渗透处理8000平方米；</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3.购进生产配套设施设备：自动料槽、料盘、饮水装置；电动刮粪、青饲料切割、揉丝机、干料粉碎、水浴池过滤净化、雏苗舍控温、控湿等设备；</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4.购置孵化机20台、出雏机10台、自动控温设备10台、控湿设备10台；</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5.园区整体供水线路安装，园区整体供电变压变台安装；</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6.园区进场大门及消毒池2处；</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7.园区场地排水系统配套；</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8.园区人员工资；</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9.供水、供电费用；</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10.饲料、兽药费用；</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11.鹅苗费用；</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12.新增肉鹅5万只。</w:t>
            </w:r>
          </w:p>
        </w:tc>
        <w:tc>
          <w:tcPr>
            <w:tcW w:w="1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71934">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财政资金用于：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1.建设鹅舍4个总面积3000平方米、鹅活动场3000平方米。</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2.活动水池1600平方米及水帘、卷帘、清粪等配套设施。</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4EACF">
            <w:pPr>
              <w:keepNext w:val="0"/>
              <w:keepLines w:val="0"/>
              <w:widowControl/>
              <w:suppressLineNumbers w:val="0"/>
              <w:spacing w:line="300" w:lineRule="exact"/>
              <w:ind w:firstLine="0" w:firstLineChars="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直接补助</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56D5A">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300 </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3116E">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300 </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D97EB">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0 </w:t>
            </w:r>
          </w:p>
        </w:tc>
      </w:tr>
      <w:tr w14:paraId="0D3AA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1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60F79">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3</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E4618">
            <w:pPr>
              <w:keepNext w:val="0"/>
              <w:keepLines w:val="0"/>
              <w:widowControl/>
              <w:suppressLineNumbers w:val="0"/>
              <w:spacing w:line="300" w:lineRule="exact"/>
              <w:ind w:firstLine="0" w:firstLineChars="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生产加工基地建设项目</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737AC">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汕头市澄海区振农投资发展有限公司（平台企业）</w:t>
            </w:r>
          </w:p>
        </w:tc>
        <w:tc>
          <w:tcPr>
            <w:tcW w:w="1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45D42">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平台公司使用中央财政奖补资金购置约5亩土地及约10000</w:t>
            </w:r>
            <w:r>
              <w:rPr>
                <w:rFonts w:hint="eastAsia" w:ascii="宋体" w:hAnsi="宋体" w:eastAsia="宋体" w:cs="宋体"/>
                <w:i w:val="0"/>
                <w:iCs w:val="0"/>
                <w:color w:val="auto"/>
                <w:kern w:val="0"/>
                <w:sz w:val="24"/>
                <w:szCs w:val="24"/>
                <w:u w:val="none"/>
                <w:lang w:val="en-US" w:eastAsia="zh-CN" w:bidi="ar"/>
              </w:rPr>
              <w:t>㎡</w:t>
            </w:r>
            <w:r>
              <w:rPr>
                <w:rFonts w:hint="eastAsia" w:ascii="仿宋_GB2312" w:hAnsi="宋体" w:eastAsia="仿宋_GB2312" w:cs="仿宋_GB2312"/>
                <w:i w:val="0"/>
                <w:iCs w:val="0"/>
                <w:color w:val="auto"/>
                <w:kern w:val="0"/>
                <w:sz w:val="24"/>
                <w:szCs w:val="24"/>
                <w:u w:val="none"/>
                <w:lang w:val="en-US" w:eastAsia="zh-CN" w:bidi="ar"/>
              </w:rPr>
              <w:t>厂房后出租给产业园经营主体，每年收取租金，并将收益的30%用于支持乡村振兴建设。</w:t>
            </w:r>
          </w:p>
        </w:tc>
        <w:tc>
          <w:tcPr>
            <w:tcW w:w="1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2EEC1">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平台公司使用中央财政奖补资金购置约5亩土地及约10000</w:t>
            </w:r>
            <w:r>
              <w:rPr>
                <w:rFonts w:hint="eastAsia" w:ascii="宋体" w:hAnsi="宋体" w:eastAsia="宋体" w:cs="宋体"/>
                <w:i w:val="0"/>
                <w:iCs w:val="0"/>
                <w:color w:val="auto"/>
                <w:kern w:val="0"/>
                <w:sz w:val="24"/>
                <w:szCs w:val="24"/>
                <w:u w:val="none"/>
                <w:lang w:val="en-US" w:eastAsia="zh-CN" w:bidi="ar"/>
              </w:rPr>
              <w:t>㎡</w:t>
            </w:r>
            <w:r>
              <w:rPr>
                <w:rFonts w:hint="eastAsia" w:ascii="仿宋_GB2312" w:hAnsi="宋体" w:eastAsia="仿宋_GB2312" w:cs="仿宋_GB2312"/>
                <w:i w:val="0"/>
                <w:iCs w:val="0"/>
                <w:color w:val="auto"/>
                <w:kern w:val="0"/>
                <w:sz w:val="24"/>
                <w:szCs w:val="24"/>
                <w:u w:val="none"/>
                <w:lang w:val="en-US" w:eastAsia="zh-CN" w:bidi="ar"/>
              </w:rPr>
              <w:t>厂房后出租给产业园经营主体，每年收取租金，并将收益的30%用于支持乡村振兴建设。</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50DDB">
            <w:pPr>
              <w:keepNext w:val="0"/>
              <w:keepLines w:val="0"/>
              <w:widowControl/>
              <w:suppressLineNumbers w:val="0"/>
              <w:spacing w:line="300" w:lineRule="exact"/>
              <w:ind w:firstLine="0" w:firstLineChars="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“补改投”</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9551D">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3760 </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7D035">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0 </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D6E83">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3760 </w:t>
            </w:r>
          </w:p>
        </w:tc>
      </w:tr>
      <w:tr w14:paraId="41135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5" w:hRule="atLeast"/>
        </w:trPr>
        <w:tc>
          <w:tcPr>
            <w:tcW w:w="1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043A4">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4</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891B1">
            <w:pPr>
              <w:keepNext w:val="0"/>
              <w:keepLines w:val="0"/>
              <w:widowControl/>
              <w:suppressLineNumbers w:val="0"/>
              <w:spacing w:line="300" w:lineRule="exact"/>
              <w:ind w:firstLine="0" w:firstLineChars="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狮头鹅原种保护和培育建设项目</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1059B">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汕头市白沙禽畜原种研究所</w:t>
            </w:r>
          </w:p>
        </w:tc>
        <w:tc>
          <w:tcPr>
            <w:tcW w:w="1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CBB3D">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项目通过建设狮头鹅种质资源创新基地、狮头鹅遗传资源研究实验室、狮头鹅种质资源遗传资源库构建及检测服务站实验设备购置，培育狮头鹅快大新品系，显著提高饲料转化率和料肉比，预计新品系出栏时120日龄体重提高0.75公斤以上，饲料成本降低2%-3%；构建种质资源库为科研机构、高校及企业开展狮头鹅遗传育种、基因功能挖掘等研究提供支持。同时，做好新品系推广示范，形成标准化养殖技术体系，推动农村劳动力就业，助力乡村产业振兴。</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b/>
                <w:bCs/>
                <w:i w:val="0"/>
                <w:iCs w:val="0"/>
                <w:color w:val="auto"/>
                <w:kern w:val="0"/>
                <w:sz w:val="24"/>
                <w:szCs w:val="24"/>
                <w:u w:val="none"/>
                <w:lang w:val="en-US" w:eastAsia="zh-CN" w:bidi="ar"/>
              </w:rPr>
              <w:t>财政资金用于：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狮头鹅种质资源创新（新品系（配套系）培育）基地建设:新品种培育所需育种种鹅舍1栋及配套围栏、水电、小水体和自动投料刮粪等设施；育种后备舍1栋及配套围栏、水电、小水体和自动投料刮粪等设施；育雏舍1栋及配套育雏栏、水电及自动投料刮粪等设施；</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2.狮头鹅遗传资源研究实验室及配套设施设备:升级改造狮头鹅遗传资源研究实验室；配套实验台、水电、桌椅等设施；购置实验冰箱、遗传育种、肉质测定等设备。</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 狮头鹅种质资源遗传资源库构建。主要用于基因测序、特征性状基因挖掘、开展血液生理生化指标、肉品质指标、肠道微生物及重点部位如肉瘤营养学测定等。</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4.检测服务站实验设备。主要用于检测服务站购置霉菌霉素快速检测仪、兽药残留多通道检测仪及实验室基础设备（离心机、恒温培养箱、样品储存柜等）等。</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b/>
                <w:bCs/>
                <w:i w:val="0"/>
                <w:iCs w:val="0"/>
                <w:color w:val="auto"/>
                <w:kern w:val="0"/>
                <w:sz w:val="24"/>
                <w:szCs w:val="24"/>
                <w:u w:val="none"/>
                <w:lang w:val="en-US" w:eastAsia="zh-CN" w:bidi="ar"/>
              </w:rPr>
              <w:t>统筹资金用于：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狮头鹅种质资源群饲养所需饲料及项目设计、审核和监理等费用。</w:t>
            </w:r>
          </w:p>
        </w:tc>
        <w:tc>
          <w:tcPr>
            <w:tcW w:w="1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C0E27">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财政资金用于：</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1.狮头鹅种质资源创新（新品系（配套系）培育）基地建设:新品种培育所需育种种鹅舍1栋及配套围栏、水电、小水体和自动投料刮粪等设施；育种后备舍1栋及配套围栏、水电、小水体和自动投料刮粪等设施；育雏舍1栋及配套育雏栏、水电及自动投料刮粪等设施；</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2.狮头鹅遗传资源研究实验室及配套设施设备:升级改造狮头鹅遗传资源研究实验室；配套实验台、水电、桌椅等设施；购置实验冰箱、遗传育种、肉质测定等设备。</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 狮头鹅种质资源遗传资源库构建。主要用于基因测序、特征性状基因挖掘、开展血液生理生化指标、肉品质指标、肠道微生物及重点部位如肉瘤营养学测定等。</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4.检测服务站实验设备。主要用于检测服务站购置霉菌霉素快速检测仪、兽药残留多通道检测仪及实验室基础设备（离心机、恒温培养箱、样品储存柜等）等。</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5DE4D">
            <w:pPr>
              <w:keepNext w:val="0"/>
              <w:keepLines w:val="0"/>
              <w:widowControl/>
              <w:suppressLineNumbers w:val="0"/>
              <w:spacing w:line="300" w:lineRule="exact"/>
              <w:ind w:firstLine="0" w:firstLineChars="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直接补助</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7F4D4">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680 </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9307E">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680 </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8B246">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0 </w:t>
            </w:r>
          </w:p>
        </w:tc>
      </w:tr>
      <w:tr w14:paraId="73F35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8" w:hRule="atLeast"/>
        </w:trPr>
        <w:tc>
          <w:tcPr>
            <w:tcW w:w="1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822D5">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5</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44710">
            <w:pPr>
              <w:keepNext w:val="0"/>
              <w:keepLines w:val="0"/>
              <w:widowControl/>
              <w:suppressLineNumbers w:val="0"/>
              <w:spacing w:line="300" w:lineRule="exact"/>
              <w:ind w:firstLine="0" w:firstLineChars="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澄海狮头鹅全产业链标准体系与区域品牌提升建设项目</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8043A">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澄海区农业农村局</w:t>
            </w:r>
          </w:p>
        </w:tc>
        <w:tc>
          <w:tcPr>
            <w:tcW w:w="1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56471">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与国内外主流媒体及社交媒体合作，开展品牌提升、宣传推广；举办澄海狮头鹅产业合作交流会，组织产业相关经营主体到省内外参加推介会和展览会，实现产销对接，开拓国内外市场。产业园亮牌树牌，打造文化展厅。</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围绕澄海狮头鹅种鹅繁育标准、狮头鹅养殖基地标准、饲料质量标准、疫病防控标准、粪污及废弃物资源化利用标准、肉鹅屠宰标准、冰鲜鹅配送标准、肉鹅卤制加工标准、冷链流通标准、鹅毛羽绒加工、狮头鹅预制菜加工标准、狮头鹅可追溯与供应管理评价标准等全产业链标准体系，增补健全地方标准体系。申报“澄海狮头鹅”国家农产品地理标志。申报狮头鹅集体商标。</w:t>
            </w:r>
          </w:p>
        </w:tc>
        <w:tc>
          <w:tcPr>
            <w:tcW w:w="1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BD091">
            <w:pPr>
              <w:keepNext w:val="0"/>
              <w:keepLines w:val="0"/>
              <w:widowControl/>
              <w:suppressLineNumbers w:val="0"/>
              <w:spacing w:line="300" w:lineRule="exact"/>
              <w:ind w:firstLine="0" w:firstLineChars="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与国内外主流媒体及社交媒体合作，开展品牌提升、宣传推广；举办澄海狮头鹅产业合作交流会，组织产业相关经营主体到省内外参加推介会和展览会，实现产销对接，开拓国内外市场。产业园亮牌树牌，打造文化展厅。</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围绕澄海狮头鹅种鹅繁育标准、狮头鹅养殖基地标准、饲料质量标准、疫病防控标准、粪污及废弃物资源化利用标准、肉鹅屠宰标准、冰鲜鹅配送标准、肉鹅卤制加工标准、冷链流通标准、鹅毛羽绒加工、狮头鹅预制菜加工标准、狮头鹅可追溯与供应管理评价标准等全产业链标准体系，增补健全地方标准体系。申报“澄海狮头鹅”国家农产品地理标志。申报狮头鹅集体商标。</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D3462">
            <w:pPr>
              <w:keepNext w:val="0"/>
              <w:keepLines w:val="0"/>
              <w:widowControl/>
              <w:suppressLineNumbers w:val="0"/>
              <w:spacing w:line="300" w:lineRule="exact"/>
              <w:ind w:firstLine="0" w:firstLineChars="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直接补助</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1CA57">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560 </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F5273">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320 </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70703">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240 </w:t>
            </w:r>
          </w:p>
        </w:tc>
      </w:tr>
    </w:tbl>
    <w:p w14:paraId="5CC37EB2">
      <w:pPr>
        <w:ind w:firstLine="0" w:firstLineChars="0"/>
        <w:jc w:val="left"/>
        <w:rPr>
          <w:rFonts w:hint="eastAsia" w:ascii="Times New Roman" w:hAnsi="Times New Roman" w:eastAsia="黑体" w:cs="Times New Roman"/>
          <w:b w:val="0"/>
          <w:bCs w:val="0"/>
          <w:color w:val="auto"/>
          <w:sz w:val="28"/>
          <w:szCs w:val="28"/>
          <w:highlight w:val="none"/>
          <w:lang w:val="en-US" w:eastAsia="zh-CN"/>
        </w:rPr>
      </w:pPr>
    </w:p>
    <w:p w14:paraId="51C98ACB">
      <w:pPr>
        <w:ind w:firstLine="0" w:firstLineChars="0"/>
        <w:jc w:val="left"/>
        <w:rPr>
          <w:rFonts w:hint="eastAsia" w:ascii="Times New Roman" w:hAnsi="Times New Roman" w:eastAsia="黑体" w:cs="Times New Roman"/>
          <w:b w:val="0"/>
          <w:bCs w:val="0"/>
          <w:color w:val="auto"/>
          <w:sz w:val="28"/>
          <w:szCs w:val="28"/>
          <w:highlight w:val="none"/>
          <w:lang w:val="en-US" w:eastAsia="zh-CN"/>
        </w:rPr>
      </w:pPr>
    </w:p>
    <w:p w14:paraId="41535F0D">
      <w:pPr>
        <w:spacing w:line="300" w:lineRule="exact"/>
        <w:ind w:firstLine="0" w:firstLineChars="0"/>
        <w:jc w:val="left"/>
        <w:rPr>
          <w:rFonts w:hint="default" w:ascii="Times New Roman" w:hAnsi="Times New Roman" w:eastAsia="仿宋_GB2312" w:cstheme="minorBidi"/>
          <w:b w:val="0"/>
          <w:bCs w:val="0"/>
          <w:color w:val="auto"/>
          <w:sz w:val="32"/>
          <w:szCs w:val="22"/>
          <w:highlight w:val="none"/>
          <w:lang w:val="en-US" w:eastAsia="zh-CN"/>
        </w:rPr>
      </w:pPr>
    </w:p>
    <w:p w14:paraId="3DBF4AE4">
      <w:pPr>
        <w:rPr>
          <w:rFonts w:hint="eastAsia" w:ascii="Times New Roman" w:hAnsi="Times New Roman"/>
          <w:color w:val="auto"/>
          <w:highlight w:val="none"/>
          <w:lang w:val="en-US" w:eastAsia="zh-CN"/>
        </w:rPr>
        <w:sectPr>
          <w:pgSz w:w="16838" w:h="11906" w:orient="landscape"/>
          <w:pgMar w:top="1440" w:right="1803" w:bottom="1440" w:left="1803"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63C320A">
      <w:pPr>
        <w:pStyle w:val="4"/>
        <w:keepNext w:val="0"/>
        <w:keepLines/>
        <w:pageBreakBefore w:val="0"/>
        <w:widowControl/>
        <w:kinsoku/>
        <w:wordWrap/>
        <w:overflowPunct/>
        <w:topLinePunct w:val="0"/>
        <w:autoSpaceDE/>
        <w:autoSpaceDN/>
        <w:bidi w:val="0"/>
        <w:adjustRightInd/>
        <w:snapToGrid/>
        <w:spacing w:line="590" w:lineRule="exact"/>
        <w:ind w:firstLine="643" w:firstLineChars="200"/>
        <w:textAlignment w:val="auto"/>
        <w:outlineLvl w:val="1"/>
        <w:rPr>
          <w:rFonts w:hint="eastAsia" w:ascii="Times New Roman" w:hAnsi="Times New Roman" w:eastAsia="楷体_GB2312" w:cs="楷体_GB2312"/>
          <w:b/>
          <w:bCs w:val="0"/>
          <w:color w:val="auto"/>
          <w:highlight w:val="none"/>
          <w:lang w:val="en-US" w:eastAsia="zh-CN"/>
        </w:rPr>
      </w:pPr>
      <w:bookmarkStart w:id="213" w:name="_Toc23912"/>
      <w:bookmarkStart w:id="214" w:name="_Toc30184"/>
      <w:bookmarkStart w:id="215" w:name="_Toc20588"/>
      <w:bookmarkStart w:id="216" w:name="_Toc23760"/>
      <w:bookmarkStart w:id="217" w:name="_Toc30048"/>
      <w:bookmarkStart w:id="218" w:name="_Toc5528"/>
      <w:bookmarkStart w:id="219" w:name="_Toc18813"/>
      <w:r>
        <w:rPr>
          <w:rFonts w:hint="eastAsia" w:ascii="Times New Roman" w:hAnsi="Times New Roman" w:eastAsia="楷体_GB2312" w:cs="楷体_GB2312"/>
          <w:b/>
          <w:bCs w:val="0"/>
          <w:color w:val="auto"/>
          <w:highlight w:val="none"/>
          <w:lang w:val="en-US" w:eastAsia="zh-CN"/>
        </w:rPr>
        <w:t>（二）资金筹措</w:t>
      </w:r>
      <w:bookmarkEnd w:id="213"/>
      <w:bookmarkEnd w:id="214"/>
      <w:bookmarkEnd w:id="215"/>
      <w:bookmarkEnd w:id="216"/>
      <w:bookmarkEnd w:id="217"/>
      <w:bookmarkEnd w:id="218"/>
      <w:bookmarkEnd w:id="219"/>
    </w:p>
    <w:p w14:paraId="704CD2A7">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 w:val="32"/>
          <w:szCs w:val="32"/>
          <w:highlight w:val="none"/>
          <w:lang w:val="en-US" w:eastAsia="zh-CN"/>
        </w:rPr>
      </w:pPr>
      <w:bookmarkStart w:id="220" w:name="_Toc13414"/>
      <w:bookmarkStart w:id="221" w:name="_Toc8147"/>
      <w:bookmarkStart w:id="222" w:name="_Toc12859"/>
      <w:r>
        <w:rPr>
          <w:rFonts w:hint="default" w:ascii="Times New Roman" w:hAnsi="Times New Roman" w:cs="仿宋_GB2312"/>
          <w:color w:val="auto"/>
          <w:sz w:val="32"/>
          <w:szCs w:val="32"/>
          <w:highlight w:val="none"/>
          <w:lang w:val="en-US" w:eastAsia="zh-CN"/>
        </w:rPr>
        <w:t>1.筹措方案</w:t>
      </w:r>
      <w:bookmarkEnd w:id="220"/>
      <w:bookmarkEnd w:id="221"/>
      <w:bookmarkEnd w:id="222"/>
    </w:p>
    <w:p w14:paraId="65E1928F">
      <w:pPr>
        <w:pageBreakBefore w:val="0"/>
        <w:kinsoku/>
        <w:overflowPunct/>
        <w:topLinePunct w:val="0"/>
        <w:autoSpaceDE/>
        <w:autoSpaceDN/>
        <w:bidi w:val="0"/>
        <w:adjustRightInd/>
        <w:snapToGrid/>
        <w:spacing w:line="590" w:lineRule="exact"/>
        <w:ind w:firstLine="640"/>
        <w:jc w:val="both"/>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广东省汕头市澄海区国家现代农业产业园202</w:t>
      </w:r>
      <w:r>
        <w:rPr>
          <w:rFonts w:hint="eastAsia" w:ascii="Times New Roman" w:hAnsi="Times New Roman" w:cs="Times New Roman"/>
          <w:color w:val="auto"/>
          <w:sz w:val="32"/>
          <w:highlight w:val="none"/>
          <w:lang w:val="en-US" w:eastAsia="zh-CN"/>
        </w:rPr>
        <w:t>4—</w:t>
      </w:r>
      <w:r>
        <w:rPr>
          <w:rFonts w:hint="default" w:ascii="Times New Roman" w:hAnsi="Times New Roman" w:eastAsia="仿宋_GB2312" w:cs="Times New Roman"/>
          <w:color w:val="auto"/>
          <w:sz w:val="32"/>
          <w:highlight w:val="none"/>
        </w:rPr>
        <w:t>202</w:t>
      </w:r>
      <w:r>
        <w:rPr>
          <w:rFonts w:hint="eastAsia" w:ascii="Times New Roman" w:hAnsi="Times New Roman" w:cs="Times New Roman"/>
          <w:color w:val="auto"/>
          <w:sz w:val="32"/>
          <w:highlight w:val="none"/>
          <w:lang w:val="en-US" w:eastAsia="zh-CN"/>
        </w:rPr>
        <w:t>6</w:t>
      </w:r>
      <w:r>
        <w:rPr>
          <w:rFonts w:hint="default" w:ascii="Times New Roman" w:hAnsi="Times New Roman" w:eastAsia="仿宋_GB2312" w:cs="Times New Roman"/>
          <w:color w:val="auto"/>
          <w:sz w:val="32"/>
          <w:highlight w:val="none"/>
        </w:rPr>
        <w:t>年计划投入资金</w:t>
      </w:r>
      <w:r>
        <w:rPr>
          <w:rFonts w:hint="default" w:ascii="Times New Roman" w:hAnsi="Times New Roman" w:eastAsia="仿宋_GB2312" w:cs="Times New Roman"/>
          <w:color w:val="auto"/>
          <w:sz w:val="32"/>
          <w:highlight w:val="none"/>
          <w:lang w:val="en-US" w:eastAsia="zh-CN"/>
        </w:rPr>
        <w:t>19</w:t>
      </w:r>
      <w:r>
        <w:rPr>
          <w:rFonts w:hint="eastAsia" w:ascii="Times New Roman" w:hAnsi="Times New Roman" w:cs="Times New Roman"/>
          <w:color w:val="auto"/>
          <w:sz w:val="32"/>
          <w:highlight w:val="none"/>
          <w:lang w:val="en-US" w:eastAsia="zh-CN"/>
        </w:rPr>
        <w:t>1352</w:t>
      </w:r>
      <w:r>
        <w:rPr>
          <w:rFonts w:hint="default" w:ascii="Times New Roman" w:hAnsi="Times New Roman" w:eastAsia="仿宋_GB2312" w:cs="Times New Roman"/>
          <w:color w:val="auto"/>
          <w:sz w:val="32"/>
          <w:highlight w:val="none"/>
        </w:rPr>
        <w:t>万元，其中，争取中央财政奖补资金</w:t>
      </w:r>
      <w:r>
        <w:rPr>
          <w:rFonts w:hint="eastAsia" w:ascii="Times New Roman" w:hAnsi="Times New Roman" w:cs="Times New Roman"/>
          <w:color w:val="auto"/>
          <w:sz w:val="32"/>
          <w:highlight w:val="none"/>
          <w:lang w:val="en-US" w:eastAsia="zh-CN"/>
        </w:rPr>
        <w:t>7</w:t>
      </w:r>
      <w:r>
        <w:rPr>
          <w:rFonts w:hint="default" w:ascii="Times New Roman" w:hAnsi="Times New Roman" w:eastAsia="仿宋_GB2312" w:cs="Times New Roman"/>
          <w:color w:val="auto"/>
          <w:sz w:val="32"/>
          <w:highlight w:val="none"/>
        </w:rPr>
        <w:t>000万元，占总投资的</w:t>
      </w:r>
      <w:r>
        <w:rPr>
          <w:rFonts w:hint="eastAsia" w:ascii="Times New Roman" w:hAnsi="Times New Roman" w:cs="Times New Roman"/>
          <w:color w:val="auto"/>
          <w:sz w:val="32"/>
          <w:highlight w:val="none"/>
          <w:lang w:val="en-US" w:eastAsia="zh-CN"/>
        </w:rPr>
        <w:t>3.66</w:t>
      </w:r>
      <w:r>
        <w:rPr>
          <w:rFonts w:hint="default" w:ascii="Times New Roman" w:hAnsi="Times New Roman" w:eastAsia="仿宋_GB2312" w:cs="Times New Roman"/>
          <w:color w:val="auto"/>
          <w:sz w:val="32"/>
          <w:highlight w:val="none"/>
        </w:rPr>
        <w:t>%；地方政府</w:t>
      </w:r>
      <w:r>
        <w:rPr>
          <w:rFonts w:hint="eastAsia" w:ascii="Times New Roman" w:hAnsi="Times New Roman" w:cs="Times New Roman"/>
          <w:color w:val="auto"/>
          <w:sz w:val="32"/>
          <w:highlight w:val="none"/>
          <w:lang w:val="en-US" w:eastAsia="zh-CN"/>
        </w:rPr>
        <w:t>财政配套</w:t>
      </w:r>
      <w:r>
        <w:rPr>
          <w:rFonts w:hint="default" w:ascii="Times New Roman" w:hAnsi="Times New Roman" w:eastAsia="仿宋_GB2312" w:cs="Times New Roman"/>
          <w:color w:val="auto"/>
          <w:sz w:val="32"/>
          <w:highlight w:val="none"/>
        </w:rPr>
        <w:t>资金75180万元，占总投资的</w:t>
      </w:r>
      <w:r>
        <w:rPr>
          <w:rFonts w:hint="eastAsia" w:ascii="Times New Roman" w:hAnsi="Times New Roman" w:cs="Times New Roman"/>
          <w:color w:val="auto"/>
          <w:sz w:val="32"/>
          <w:highlight w:val="none"/>
          <w:lang w:val="en-US" w:eastAsia="zh-CN"/>
        </w:rPr>
        <w:t>39.39</w:t>
      </w:r>
      <w:r>
        <w:rPr>
          <w:rFonts w:hint="default" w:ascii="Times New Roman" w:hAnsi="Times New Roman" w:eastAsia="仿宋_GB2312" w:cs="Times New Roman"/>
          <w:color w:val="auto"/>
          <w:sz w:val="32"/>
          <w:highlight w:val="none"/>
        </w:rPr>
        <w:t>%；</w:t>
      </w:r>
      <w:r>
        <w:rPr>
          <w:rFonts w:hint="eastAsia" w:ascii="Times New Roman" w:hAnsi="Times New Roman" w:cs="Times New Roman"/>
          <w:color w:val="auto"/>
          <w:sz w:val="32"/>
          <w:highlight w:val="none"/>
          <w:lang w:val="en-US" w:eastAsia="zh-CN"/>
        </w:rPr>
        <w:t>金融、社会</w:t>
      </w:r>
      <w:r>
        <w:rPr>
          <w:rFonts w:hint="default" w:ascii="Times New Roman" w:hAnsi="Times New Roman" w:eastAsia="仿宋_GB2312" w:cs="Times New Roman"/>
          <w:color w:val="auto"/>
          <w:sz w:val="32"/>
          <w:highlight w:val="none"/>
        </w:rPr>
        <w:t>资金109172万元，占总投资的</w:t>
      </w:r>
      <w:r>
        <w:rPr>
          <w:rFonts w:hint="eastAsia" w:ascii="Times New Roman" w:hAnsi="Times New Roman" w:cs="Times New Roman"/>
          <w:color w:val="auto"/>
          <w:sz w:val="32"/>
          <w:highlight w:val="none"/>
          <w:lang w:val="en-US" w:eastAsia="zh-CN"/>
        </w:rPr>
        <w:t>57.05</w:t>
      </w:r>
      <w:r>
        <w:rPr>
          <w:rFonts w:hint="default" w:ascii="Times New Roman" w:hAnsi="Times New Roman" w:eastAsia="仿宋_GB2312" w:cs="Times New Roman"/>
          <w:color w:val="auto"/>
          <w:sz w:val="32"/>
          <w:highlight w:val="none"/>
        </w:rPr>
        <w:t>%</w:t>
      </w:r>
      <w:r>
        <w:rPr>
          <w:rFonts w:hint="eastAsia" w:ascii="Times New Roman" w:hAnsi="Times New Roman" w:cs="Times New Roman"/>
          <w:color w:val="auto"/>
          <w:sz w:val="32"/>
          <w:highlight w:val="none"/>
          <w:lang w:eastAsia="zh-CN"/>
        </w:rPr>
        <w:t>。</w:t>
      </w:r>
    </w:p>
    <w:p w14:paraId="3A13492F">
      <w:pPr>
        <w:pageBreakBefore w:val="0"/>
        <w:kinsoku/>
        <w:overflowPunct/>
        <w:topLinePunct w:val="0"/>
        <w:autoSpaceDE/>
        <w:autoSpaceDN/>
        <w:bidi w:val="0"/>
        <w:adjustRightInd/>
        <w:snapToGrid/>
        <w:spacing w:line="590" w:lineRule="exact"/>
        <w:ind w:left="0" w:leftChars="0" w:firstLine="0" w:firstLineChars="0"/>
        <w:jc w:val="center"/>
        <w:rPr>
          <w:rFonts w:hint="eastAsia" w:ascii="Times New Roman" w:hAnsi="Times New Roman" w:eastAsia="黑体" w:cs="Times New Roman"/>
          <w:b w:val="0"/>
          <w:bCs w:val="0"/>
          <w:color w:val="auto"/>
          <w:sz w:val="28"/>
          <w:szCs w:val="28"/>
          <w:highlight w:val="none"/>
        </w:rPr>
      </w:pPr>
      <w:r>
        <w:rPr>
          <w:rFonts w:hint="eastAsia" w:ascii="Times New Roman" w:hAnsi="Times New Roman" w:eastAsia="黑体" w:cs="Times New Roman"/>
          <w:b w:val="0"/>
          <w:bCs w:val="0"/>
          <w:color w:val="auto"/>
          <w:sz w:val="28"/>
          <w:szCs w:val="28"/>
          <w:highlight w:val="none"/>
        </w:rPr>
        <w:t>资金筹措方案</w:t>
      </w:r>
    </w:p>
    <w:p w14:paraId="54EBEFBB">
      <w:pPr>
        <w:pageBreakBefore w:val="0"/>
        <w:kinsoku/>
        <w:overflowPunct/>
        <w:topLinePunct w:val="0"/>
        <w:autoSpaceDE/>
        <w:autoSpaceDN/>
        <w:bidi w:val="0"/>
        <w:adjustRightInd/>
        <w:snapToGrid/>
        <w:spacing w:line="590" w:lineRule="exact"/>
        <w:ind w:left="0" w:leftChars="0" w:firstLine="0" w:firstLineChars="0"/>
        <w:jc w:val="center"/>
        <w:rPr>
          <w:rFonts w:hint="eastAsia" w:ascii="Times New Roman" w:hAnsi="Times New Roman" w:eastAsia="黑体" w:cs="Times New Roman"/>
          <w:b w:val="0"/>
          <w:bCs w:val="0"/>
          <w:color w:val="auto"/>
          <w:sz w:val="28"/>
          <w:szCs w:val="28"/>
          <w:highlight w:val="none"/>
        </w:rPr>
      </w:pPr>
    </w:p>
    <w:tbl>
      <w:tblPr>
        <w:tblStyle w:val="2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0"/>
        <w:gridCol w:w="3766"/>
        <w:gridCol w:w="1244"/>
        <w:gridCol w:w="1347"/>
        <w:gridCol w:w="1055"/>
        <w:gridCol w:w="1076"/>
      </w:tblGrid>
      <w:tr w14:paraId="10B2F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0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E3C5EEF">
            <w:pPr>
              <w:keepNext w:val="0"/>
              <w:keepLines w:val="0"/>
              <w:widowControl/>
              <w:suppressLineNumbers w:val="0"/>
              <w:spacing w:line="300" w:lineRule="exact"/>
              <w:ind w:firstLine="0" w:firstLineChars="0"/>
              <w:jc w:val="center"/>
              <w:textAlignment w:val="center"/>
              <w:rPr>
                <w:rFonts w:ascii="Times New Roman" w:hAnsi="Times New Roman" w:eastAsia="黑体" w:cs="黑体"/>
                <w:b/>
                <w:bCs/>
                <w:i w:val="0"/>
                <w:iCs w:val="0"/>
                <w:color w:val="auto"/>
                <w:sz w:val="24"/>
                <w:szCs w:val="24"/>
                <w:highlight w:val="none"/>
                <w:u w:val="none"/>
              </w:rPr>
            </w:pPr>
            <w:bookmarkStart w:id="223" w:name="_Toc32590"/>
            <w:bookmarkStart w:id="224" w:name="_Toc5896"/>
            <w:bookmarkStart w:id="225" w:name="_Toc333"/>
            <w:r>
              <w:rPr>
                <w:rFonts w:hint="eastAsia" w:ascii="Times New Roman" w:hAnsi="Times New Roman" w:eastAsia="黑体" w:cs="黑体"/>
                <w:b/>
                <w:bCs/>
                <w:i w:val="0"/>
                <w:iCs w:val="0"/>
                <w:color w:val="auto"/>
                <w:kern w:val="0"/>
                <w:sz w:val="24"/>
                <w:szCs w:val="24"/>
                <w:highlight w:val="none"/>
                <w:u w:val="none"/>
                <w:lang w:val="en-US" w:eastAsia="zh-CN" w:bidi="ar"/>
              </w:rPr>
              <w:t>序号</w:t>
            </w:r>
          </w:p>
        </w:tc>
        <w:tc>
          <w:tcPr>
            <w:tcW w:w="2037" w:type="pct"/>
            <w:vMerge w:val="restart"/>
            <w:tcBorders>
              <w:top w:val="single" w:color="000000" w:sz="8" w:space="0"/>
              <w:left w:val="nil"/>
              <w:bottom w:val="single" w:color="000000" w:sz="8" w:space="0"/>
              <w:right w:val="single" w:color="000000" w:sz="8" w:space="0"/>
            </w:tcBorders>
            <w:shd w:val="clear" w:color="auto" w:fill="auto"/>
            <w:vAlign w:val="center"/>
          </w:tcPr>
          <w:p w14:paraId="4D4C9C2E">
            <w:pPr>
              <w:keepNext w:val="0"/>
              <w:keepLines w:val="0"/>
              <w:widowControl/>
              <w:suppressLineNumbers w:val="0"/>
              <w:spacing w:line="300" w:lineRule="exact"/>
              <w:ind w:firstLine="0" w:firstLineChars="0"/>
              <w:jc w:val="center"/>
              <w:textAlignment w:val="center"/>
              <w:rPr>
                <w:rFonts w:hint="eastAsia" w:ascii="Times New Roman" w:hAnsi="Times New Roman" w:eastAsia="黑体" w:cs="黑体"/>
                <w:b/>
                <w:bCs/>
                <w:i w:val="0"/>
                <w:iCs w:val="0"/>
                <w:color w:val="auto"/>
                <w:sz w:val="24"/>
                <w:szCs w:val="24"/>
                <w:highlight w:val="none"/>
                <w:u w:val="none"/>
              </w:rPr>
            </w:pPr>
            <w:r>
              <w:rPr>
                <w:rFonts w:hint="eastAsia" w:ascii="Times New Roman" w:hAnsi="Times New Roman" w:eastAsia="黑体" w:cs="黑体"/>
                <w:b/>
                <w:bCs/>
                <w:i w:val="0"/>
                <w:iCs w:val="0"/>
                <w:color w:val="auto"/>
                <w:kern w:val="0"/>
                <w:sz w:val="24"/>
                <w:szCs w:val="24"/>
                <w:highlight w:val="none"/>
                <w:u w:val="none"/>
                <w:lang w:val="en-US" w:eastAsia="zh-CN" w:bidi="ar"/>
              </w:rPr>
              <w:t>项目名称</w:t>
            </w:r>
          </w:p>
        </w:tc>
        <w:tc>
          <w:tcPr>
            <w:tcW w:w="673" w:type="pct"/>
            <w:tcBorders>
              <w:top w:val="single" w:color="000000" w:sz="8" w:space="0"/>
              <w:left w:val="nil"/>
              <w:bottom w:val="nil"/>
              <w:right w:val="single" w:color="000000" w:sz="8" w:space="0"/>
            </w:tcBorders>
            <w:shd w:val="clear" w:color="auto" w:fill="auto"/>
            <w:vAlign w:val="center"/>
          </w:tcPr>
          <w:p w14:paraId="0299A597">
            <w:pPr>
              <w:keepNext w:val="0"/>
              <w:keepLines w:val="0"/>
              <w:widowControl/>
              <w:suppressLineNumbers w:val="0"/>
              <w:spacing w:line="300" w:lineRule="exact"/>
              <w:ind w:firstLine="0" w:firstLineChars="0"/>
              <w:jc w:val="center"/>
              <w:textAlignment w:val="center"/>
              <w:rPr>
                <w:rFonts w:hint="eastAsia" w:ascii="Times New Roman" w:hAnsi="Times New Roman" w:eastAsia="黑体" w:cs="黑体"/>
                <w:b/>
                <w:bCs/>
                <w:i w:val="0"/>
                <w:iCs w:val="0"/>
                <w:color w:val="auto"/>
                <w:sz w:val="24"/>
                <w:szCs w:val="24"/>
                <w:highlight w:val="none"/>
                <w:u w:val="none"/>
              </w:rPr>
            </w:pPr>
            <w:r>
              <w:rPr>
                <w:rFonts w:hint="eastAsia" w:ascii="Times New Roman" w:hAnsi="Times New Roman" w:eastAsia="黑体" w:cs="黑体"/>
                <w:b/>
                <w:bCs/>
                <w:i w:val="0"/>
                <w:iCs w:val="0"/>
                <w:color w:val="auto"/>
                <w:kern w:val="0"/>
                <w:sz w:val="24"/>
                <w:szCs w:val="24"/>
                <w:highlight w:val="none"/>
                <w:u w:val="none"/>
                <w:lang w:val="en-US" w:eastAsia="zh-CN" w:bidi="ar"/>
              </w:rPr>
              <w:t>投资额</w:t>
            </w:r>
          </w:p>
        </w:tc>
        <w:tc>
          <w:tcPr>
            <w:tcW w:w="1882" w:type="pct"/>
            <w:gridSpan w:val="3"/>
            <w:vMerge w:val="restart"/>
            <w:tcBorders>
              <w:top w:val="single" w:color="000000" w:sz="8" w:space="0"/>
              <w:left w:val="nil"/>
              <w:bottom w:val="single" w:color="000000" w:sz="8" w:space="0"/>
              <w:right w:val="single" w:color="000000" w:sz="8" w:space="0"/>
            </w:tcBorders>
            <w:shd w:val="clear" w:color="auto" w:fill="auto"/>
            <w:vAlign w:val="center"/>
          </w:tcPr>
          <w:p w14:paraId="367FDA23">
            <w:pPr>
              <w:keepNext w:val="0"/>
              <w:keepLines w:val="0"/>
              <w:widowControl/>
              <w:suppressLineNumbers w:val="0"/>
              <w:spacing w:line="300" w:lineRule="exact"/>
              <w:ind w:firstLine="0" w:firstLineChars="0"/>
              <w:jc w:val="center"/>
              <w:textAlignment w:val="center"/>
              <w:rPr>
                <w:rFonts w:hint="eastAsia" w:ascii="Times New Roman" w:hAnsi="Times New Roman" w:eastAsia="黑体" w:cs="黑体"/>
                <w:b/>
                <w:bCs/>
                <w:i w:val="0"/>
                <w:iCs w:val="0"/>
                <w:color w:val="auto"/>
                <w:sz w:val="24"/>
                <w:szCs w:val="24"/>
                <w:highlight w:val="none"/>
                <w:u w:val="none"/>
              </w:rPr>
            </w:pPr>
            <w:r>
              <w:rPr>
                <w:rFonts w:hint="eastAsia" w:ascii="Times New Roman" w:hAnsi="Times New Roman" w:eastAsia="黑体" w:cs="黑体"/>
                <w:b/>
                <w:bCs/>
                <w:i w:val="0"/>
                <w:iCs w:val="0"/>
                <w:color w:val="auto"/>
                <w:kern w:val="0"/>
                <w:sz w:val="24"/>
                <w:szCs w:val="24"/>
                <w:highlight w:val="none"/>
                <w:u w:val="none"/>
                <w:lang w:val="en-US" w:eastAsia="zh-CN" w:bidi="ar"/>
              </w:rPr>
              <w:t>资金来源（万元）</w:t>
            </w:r>
          </w:p>
        </w:tc>
      </w:tr>
      <w:tr w14:paraId="095A4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0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8697281">
            <w:pPr>
              <w:spacing w:line="300" w:lineRule="exact"/>
              <w:jc w:val="center"/>
              <w:rPr>
                <w:rFonts w:hint="eastAsia" w:ascii="Times New Roman" w:hAnsi="Times New Roman" w:eastAsia="黑体" w:cs="黑体"/>
                <w:b/>
                <w:bCs/>
                <w:i w:val="0"/>
                <w:iCs w:val="0"/>
                <w:color w:val="auto"/>
                <w:sz w:val="24"/>
                <w:szCs w:val="24"/>
                <w:highlight w:val="none"/>
                <w:u w:val="none"/>
              </w:rPr>
            </w:pPr>
          </w:p>
        </w:tc>
        <w:tc>
          <w:tcPr>
            <w:tcW w:w="2037" w:type="pct"/>
            <w:vMerge w:val="continue"/>
            <w:tcBorders>
              <w:top w:val="single" w:color="000000" w:sz="8" w:space="0"/>
              <w:left w:val="nil"/>
              <w:bottom w:val="single" w:color="000000" w:sz="8" w:space="0"/>
              <w:right w:val="single" w:color="000000" w:sz="8" w:space="0"/>
            </w:tcBorders>
            <w:shd w:val="clear" w:color="auto" w:fill="auto"/>
            <w:vAlign w:val="center"/>
          </w:tcPr>
          <w:p w14:paraId="6E7B7C61">
            <w:pPr>
              <w:spacing w:line="300" w:lineRule="exact"/>
              <w:jc w:val="center"/>
              <w:rPr>
                <w:rFonts w:hint="eastAsia" w:ascii="Times New Roman" w:hAnsi="Times New Roman" w:eastAsia="黑体" w:cs="黑体"/>
                <w:b/>
                <w:bCs/>
                <w:i w:val="0"/>
                <w:iCs w:val="0"/>
                <w:color w:val="auto"/>
                <w:sz w:val="24"/>
                <w:szCs w:val="24"/>
                <w:highlight w:val="none"/>
                <w:u w:val="none"/>
              </w:rPr>
            </w:pPr>
          </w:p>
        </w:tc>
        <w:tc>
          <w:tcPr>
            <w:tcW w:w="673" w:type="pct"/>
            <w:vMerge w:val="restart"/>
            <w:tcBorders>
              <w:top w:val="nil"/>
              <w:left w:val="nil"/>
              <w:bottom w:val="single" w:color="000000" w:sz="8" w:space="0"/>
              <w:right w:val="single" w:color="000000" w:sz="8" w:space="0"/>
            </w:tcBorders>
            <w:shd w:val="clear" w:color="auto" w:fill="auto"/>
            <w:vAlign w:val="center"/>
          </w:tcPr>
          <w:p w14:paraId="5BDE9C4C">
            <w:pPr>
              <w:keepNext w:val="0"/>
              <w:keepLines w:val="0"/>
              <w:widowControl/>
              <w:suppressLineNumbers w:val="0"/>
              <w:spacing w:line="300" w:lineRule="exact"/>
              <w:ind w:firstLine="0" w:firstLineChars="0"/>
              <w:jc w:val="center"/>
              <w:textAlignment w:val="center"/>
              <w:rPr>
                <w:rFonts w:hint="eastAsia" w:ascii="Times New Roman" w:hAnsi="Times New Roman" w:eastAsia="黑体" w:cs="黑体"/>
                <w:b/>
                <w:bCs/>
                <w:i w:val="0"/>
                <w:iCs w:val="0"/>
                <w:color w:val="auto"/>
                <w:sz w:val="24"/>
                <w:szCs w:val="24"/>
                <w:highlight w:val="none"/>
                <w:u w:val="none"/>
              </w:rPr>
            </w:pPr>
            <w:r>
              <w:rPr>
                <w:rFonts w:hint="eastAsia" w:ascii="Times New Roman" w:hAnsi="Times New Roman" w:eastAsia="黑体" w:cs="黑体"/>
                <w:b/>
                <w:bCs/>
                <w:i w:val="0"/>
                <w:iCs w:val="0"/>
                <w:color w:val="auto"/>
                <w:kern w:val="0"/>
                <w:sz w:val="24"/>
                <w:szCs w:val="24"/>
                <w:highlight w:val="none"/>
                <w:u w:val="none"/>
                <w:lang w:val="en-US" w:eastAsia="zh-CN" w:bidi="ar"/>
              </w:rPr>
              <w:t>（万元）</w:t>
            </w:r>
          </w:p>
        </w:tc>
        <w:tc>
          <w:tcPr>
            <w:tcW w:w="1882" w:type="pct"/>
            <w:gridSpan w:val="3"/>
            <w:vMerge w:val="continue"/>
            <w:tcBorders>
              <w:top w:val="single" w:color="000000" w:sz="8" w:space="0"/>
              <w:left w:val="nil"/>
              <w:bottom w:val="single" w:color="000000" w:sz="8" w:space="0"/>
              <w:right w:val="single" w:color="000000" w:sz="8" w:space="0"/>
            </w:tcBorders>
            <w:shd w:val="clear" w:color="auto" w:fill="auto"/>
            <w:vAlign w:val="center"/>
          </w:tcPr>
          <w:p w14:paraId="2C38239B">
            <w:pPr>
              <w:spacing w:line="300" w:lineRule="exact"/>
              <w:jc w:val="center"/>
              <w:rPr>
                <w:rFonts w:hint="eastAsia" w:ascii="Times New Roman" w:hAnsi="Times New Roman" w:eastAsia="黑体" w:cs="黑体"/>
                <w:b/>
                <w:bCs/>
                <w:i w:val="0"/>
                <w:iCs w:val="0"/>
                <w:color w:val="auto"/>
                <w:sz w:val="24"/>
                <w:szCs w:val="24"/>
                <w:highlight w:val="none"/>
                <w:u w:val="none"/>
              </w:rPr>
            </w:pPr>
          </w:p>
        </w:tc>
      </w:tr>
      <w:tr w14:paraId="76464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40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69D4898">
            <w:pPr>
              <w:spacing w:line="300" w:lineRule="exact"/>
              <w:jc w:val="center"/>
              <w:rPr>
                <w:rFonts w:hint="eastAsia" w:ascii="Times New Roman" w:hAnsi="Times New Roman" w:eastAsia="黑体" w:cs="黑体"/>
                <w:b/>
                <w:bCs/>
                <w:i w:val="0"/>
                <w:iCs w:val="0"/>
                <w:color w:val="auto"/>
                <w:sz w:val="24"/>
                <w:szCs w:val="24"/>
                <w:highlight w:val="none"/>
                <w:u w:val="none"/>
              </w:rPr>
            </w:pPr>
          </w:p>
        </w:tc>
        <w:tc>
          <w:tcPr>
            <w:tcW w:w="2037" w:type="pct"/>
            <w:vMerge w:val="continue"/>
            <w:tcBorders>
              <w:top w:val="single" w:color="000000" w:sz="8" w:space="0"/>
              <w:left w:val="nil"/>
              <w:bottom w:val="single" w:color="000000" w:sz="8" w:space="0"/>
              <w:right w:val="single" w:color="000000" w:sz="8" w:space="0"/>
            </w:tcBorders>
            <w:shd w:val="clear" w:color="auto" w:fill="auto"/>
            <w:vAlign w:val="center"/>
          </w:tcPr>
          <w:p w14:paraId="2A78432D">
            <w:pPr>
              <w:spacing w:line="300" w:lineRule="exact"/>
              <w:jc w:val="center"/>
              <w:rPr>
                <w:rFonts w:hint="eastAsia" w:ascii="Times New Roman" w:hAnsi="Times New Roman" w:eastAsia="黑体" w:cs="黑体"/>
                <w:b/>
                <w:bCs/>
                <w:i w:val="0"/>
                <w:iCs w:val="0"/>
                <w:color w:val="auto"/>
                <w:sz w:val="24"/>
                <w:szCs w:val="24"/>
                <w:highlight w:val="none"/>
                <w:u w:val="none"/>
              </w:rPr>
            </w:pPr>
          </w:p>
        </w:tc>
        <w:tc>
          <w:tcPr>
            <w:tcW w:w="673" w:type="pct"/>
            <w:vMerge w:val="continue"/>
            <w:tcBorders>
              <w:top w:val="nil"/>
              <w:left w:val="nil"/>
              <w:bottom w:val="single" w:color="000000" w:sz="8" w:space="0"/>
              <w:right w:val="single" w:color="000000" w:sz="8" w:space="0"/>
            </w:tcBorders>
            <w:shd w:val="clear" w:color="auto" w:fill="auto"/>
            <w:vAlign w:val="center"/>
          </w:tcPr>
          <w:p w14:paraId="3ADCE707">
            <w:pPr>
              <w:spacing w:line="300" w:lineRule="exact"/>
              <w:jc w:val="center"/>
              <w:rPr>
                <w:rFonts w:hint="eastAsia" w:ascii="Times New Roman" w:hAnsi="Times New Roman" w:eastAsia="黑体" w:cs="黑体"/>
                <w:b/>
                <w:bCs/>
                <w:i w:val="0"/>
                <w:iCs w:val="0"/>
                <w:color w:val="auto"/>
                <w:sz w:val="24"/>
                <w:szCs w:val="24"/>
                <w:highlight w:val="none"/>
                <w:u w:val="none"/>
              </w:rPr>
            </w:pPr>
          </w:p>
        </w:tc>
        <w:tc>
          <w:tcPr>
            <w:tcW w:w="729" w:type="pct"/>
            <w:tcBorders>
              <w:top w:val="nil"/>
              <w:left w:val="nil"/>
              <w:bottom w:val="single" w:color="000000" w:sz="8" w:space="0"/>
              <w:right w:val="single" w:color="000000" w:sz="8" w:space="0"/>
            </w:tcBorders>
            <w:shd w:val="clear" w:color="auto" w:fill="auto"/>
            <w:vAlign w:val="center"/>
          </w:tcPr>
          <w:p w14:paraId="7DD455CB">
            <w:pPr>
              <w:keepNext w:val="0"/>
              <w:keepLines w:val="0"/>
              <w:widowControl/>
              <w:suppressLineNumbers w:val="0"/>
              <w:spacing w:line="300" w:lineRule="exact"/>
              <w:ind w:firstLine="0" w:firstLineChars="0"/>
              <w:jc w:val="center"/>
              <w:textAlignment w:val="center"/>
              <w:rPr>
                <w:rFonts w:hint="eastAsia" w:ascii="Times New Roman" w:hAnsi="Times New Roman" w:eastAsia="黑体" w:cs="黑体"/>
                <w:b/>
                <w:bCs/>
                <w:i w:val="0"/>
                <w:iCs w:val="0"/>
                <w:color w:val="auto"/>
                <w:sz w:val="24"/>
                <w:szCs w:val="24"/>
                <w:highlight w:val="none"/>
                <w:u w:val="none"/>
              </w:rPr>
            </w:pPr>
            <w:r>
              <w:rPr>
                <w:rFonts w:hint="eastAsia" w:ascii="Times New Roman" w:hAnsi="Times New Roman" w:eastAsia="黑体" w:cs="黑体"/>
                <w:b/>
                <w:bCs/>
                <w:i w:val="0"/>
                <w:iCs w:val="0"/>
                <w:color w:val="auto"/>
                <w:kern w:val="0"/>
                <w:sz w:val="24"/>
                <w:szCs w:val="24"/>
                <w:highlight w:val="none"/>
                <w:u w:val="none"/>
                <w:lang w:val="en-US" w:eastAsia="zh-CN" w:bidi="ar"/>
              </w:rPr>
              <w:t>中央财政</w:t>
            </w:r>
          </w:p>
        </w:tc>
        <w:tc>
          <w:tcPr>
            <w:tcW w:w="571" w:type="pct"/>
            <w:tcBorders>
              <w:top w:val="single" w:color="000000" w:sz="8" w:space="0"/>
              <w:left w:val="nil"/>
              <w:bottom w:val="single" w:color="000000" w:sz="8" w:space="0"/>
              <w:right w:val="single" w:color="000000" w:sz="8" w:space="0"/>
            </w:tcBorders>
            <w:shd w:val="clear" w:color="auto" w:fill="auto"/>
            <w:vAlign w:val="center"/>
          </w:tcPr>
          <w:p w14:paraId="6AFF1EA7">
            <w:pPr>
              <w:keepNext w:val="0"/>
              <w:keepLines w:val="0"/>
              <w:widowControl/>
              <w:suppressLineNumbers w:val="0"/>
              <w:spacing w:line="300" w:lineRule="exact"/>
              <w:ind w:firstLine="0" w:firstLineChars="0"/>
              <w:jc w:val="center"/>
              <w:textAlignment w:val="center"/>
              <w:rPr>
                <w:rFonts w:hint="eastAsia" w:ascii="Times New Roman" w:hAnsi="Times New Roman" w:eastAsia="黑体" w:cs="黑体"/>
                <w:b/>
                <w:bCs/>
                <w:i w:val="0"/>
                <w:iCs w:val="0"/>
                <w:color w:val="auto"/>
                <w:sz w:val="24"/>
                <w:szCs w:val="24"/>
                <w:highlight w:val="none"/>
                <w:u w:val="none"/>
              </w:rPr>
            </w:pPr>
            <w:r>
              <w:rPr>
                <w:rFonts w:hint="eastAsia" w:ascii="Times New Roman" w:hAnsi="Times New Roman" w:eastAsia="黑体" w:cs="黑体"/>
                <w:b/>
                <w:bCs/>
                <w:i w:val="0"/>
                <w:iCs w:val="0"/>
                <w:color w:val="auto"/>
                <w:kern w:val="0"/>
                <w:sz w:val="24"/>
                <w:szCs w:val="24"/>
                <w:highlight w:val="none"/>
                <w:u w:val="none"/>
                <w:lang w:val="en-US" w:eastAsia="zh-CN" w:bidi="ar"/>
              </w:rPr>
              <w:t>地方财政配套</w:t>
            </w:r>
          </w:p>
        </w:tc>
        <w:tc>
          <w:tcPr>
            <w:tcW w:w="581" w:type="pct"/>
            <w:tcBorders>
              <w:top w:val="single" w:color="000000" w:sz="8" w:space="0"/>
              <w:left w:val="nil"/>
              <w:bottom w:val="single" w:color="000000" w:sz="8" w:space="0"/>
              <w:right w:val="single" w:color="000000" w:sz="8" w:space="0"/>
            </w:tcBorders>
            <w:shd w:val="clear" w:color="auto" w:fill="auto"/>
            <w:vAlign w:val="center"/>
          </w:tcPr>
          <w:p w14:paraId="507AE100">
            <w:pPr>
              <w:keepNext w:val="0"/>
              <w:keepLines w:val="0"/>
              <w:widowControl/>
              <w:suppressLineNumbers w:val="0"/>
              <w:spacing w:line="300" w:lineRule="exact"/>
              <w:ind w:firstLine="0" w:firstLineChars="0"/>
              <w:jc w:val="center"/>
              <w:textAlignment w:val="center"/>
              <w:rPr>
                <w:rFonts w:hint="eastAsia" w:ascii="Times New Roman" w:hAnsi="Times New Roman" w:eastAsia="黑体" w:cs="黑体"/>
                <w:b/>
                <w:bCs/>
                <w:i w:val="0"/>
                <w:iCs w:val="0"/>
                <w:color w:val="auto"/>
                <w:sz w:val="24"/>
                <w:szCs w:val="24"/>
                <w:highlight w:val="none"/>
                <w:u w:val="none"/>
              </w:rPr>
            </w:pPr>
            <w:r>
              <w:rPr>
                <w:rFonts w:hint="eastAsia" w:ascii="Times New Roman" w:hAnsi="Times New Roman" w:eastAsia="黑体" w:cs="黑体"/>
                <w:b/>
                <w:bCs/>
                <w:i w:val="0"/>
                <w:iCs w:val="0"/>
                <w:color w:val="auto"/>
                <w:kern w:val="0"/>
                <w:sz w:val="24"/>
                <w:szCs w:val="24"/>
                <w:highlight w:val="none"/>
                <w:u w:val="none"/>
                <w:lang w:val="en-US" w:eastAsia="zh-CN" w:bidi="ar"/>
              </w:rPr>
              <w:t>金融、社会资本</w:t>
            </w:r>
          </w:p>
        </w:tc>
      </w:tr>
      <w:tr w14:paraId="41BE9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406" w:type="pct"/>
            <w:tcBorders>
              <w:top w:val="nil"/>
              <w:left w:val="single" w:color="000000" w:sz="8" w:space="0"/>
              <w:bottom w:val="single" w:color="000000" w:sz="8" w:space="0"/>
              <w:right w:val="single" w:color="000000" w:sz="8" w:space="0"/>
            </w:tcBorders>
            <w:shd w:val="clear" w:color="auto" w:fill="auto"/>
            <w:vAlign w:val="center"/>
          </w:tcPr>
          <w:p w14:paraId="722FA593">
            <w:pPr>
              <w:keepNext w:val="0"/>
              <w:keepLines w:val="0"/>
              <w:widowControl/>
              <w:suppressLineNumbers w:val="0"/>
              <w:spacing w:line="300" w:lineRule="exact"/>
              <w:ind w:firstLine="0" w:firstLineChars="0"/>
              <w:jc w:val="center"/>
              <w:textAlignment w:val="center"/>
              <w:rPr>
                <w:rFonts w:hint="eastAsia" w:ascii="Times New Roman" w:hAnsi="Times New Roman" w:eastAsia="黑体" w:cs="黑体"/>
                <w:i w:val="0"/>
                <w:iCs w:val="0"/>
                <w:color w:val="auto"/>
                <w:sz w:val="24"/>
                <w:szCs w:val="24"/>
                <w:highlight w:val="none"/>
                <w:u w:val="none"/>
              </w:rPr>
            </w:pPr>
            <w:r>
              <w:rPr>
                <w:rFonts w:hint="eastAsia" w:ascii="Times New Roman" w:hAnsi="Times New Roman" w:eastAsia="黑体" w:cs="黑体"/>
                <w:i w:val="0"/>
                <w:iCs w:val="0"/>
                <w:color w:val="auto"/>
                <w:kern w:val="0"/>
                <w:sz w:val="24"/>
                <w:szCs w:val="24"/>
                <w:highlight w:val="none"/>
                <w:u w:val="none"/>
                <w:lang w:val="en-US" w:eastAsia="zh-CN" w:bidi="ar"/>
              </w:rPr>
              <w:t>一</w:t>
            </w:r>
          </w:p>
        </w:tc>
        <w:tc>
          <w:tcPr>
            <w:tcW w:w="2037" w:type="pct"/>
            <w:tcBorders>
              <w:top w:val="nil"/>
              <w:left w:val="nil"/>
              <w:bottom w:val="single" w:color="000000" w:sz="8" w:space="0"/>
              <w:right w:val="single" w:color="000000" w:sz="8" w:space="0"/>
            </w:tcBorders>
            <w:shd w:val="clear" w:color="auto" w:fill="auto"/>
            <w:vAlign w:val="center"/>
          </w:tcPr>
          <w:p w14:paraId="42ABB16F">
            <w:pPr>
              <w:keepNext w:val="0"/>
              <w:keepLines w:val="0"/>
              <w:widowControl/>
              <w:suppressLineNumbers w:val="0"/>
              <w:spacing w:line="300" w:lineRule="exact"/>
              <w:ind w:firstLine="0" w:firstLineChars="0"/>
              <w:jc w:val="left"/>
              <w:textAlignment w:val="center"/>
              <w:rPr>
                <w:rFonts w:hint="eastAsia" w:ascii="Times New Roman" w:hAnsi="Times New Roman" w:eastAsia="黑体" w:cs="黑体"/>
                <w:i w:val="0"/>
                <w:iCs w:val="0"/>
                <w:color w:val="auto"/>
                <w:sz w:val="24"/>
                <w:szCs w:val="24"/>
                <w:highlight w:val="none"/>
                <w:u w:val="none"/>
              </w:rPr>
            </w:pPr>
            <w:r>
              <w:rPr>
                <w:rFonts w:hint="eastAsia" w:ascii="Times New Roman" w:hAnsi="Times New Roman" w:eastAsia="黑体" w:cs="黑体"/>
                <w:i w:val="0"/>
                <w:iCs w:val="0"/>
                <w:color w:val="auto"/>
                <w:kern w:val="0"/>
                <w:sz w:val="24"/>
                <w:szCs w:val="24"/>
                <w:highlight w:val="none"/>
                <w:u w:val="none"/>
                <w:lang w:val="en-US" w:eastAsia="zh-CN" w:bidi="ar"/>
              </w:rPr>
              <w:t>标准化狮头鹅养殖基地建设工程</w:t>
            </w:r>
          </w:p>
        </w:tc>
        <w:tc>
          <w:tcPr>
            <w:tcW w:w="673" w:type="pct"/>
            <w:tcBorders>
              <w:top w:val="nil"/>
              <w:left w:val="nil"/>
              <w:bottom w:val="single" w:color="000000" w:sz="8" w:space="0"/>
              <w:right w:val="single" w:color="000000" w:sz="8" w:space="0"/>
            </w:tcBorders>
            <w:shd w:val="clear" w:color="auto" w:fill="auto"/>
            <w:noWrap/>
            <w:vAlign w:val="center"/>
          </w:tcPr>
          <w:p w14:paraId="243527F3">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21059</w:t>
            </w:r>
          </w:p>
        </w:tc>
        <w:tc>
          <w:tcPr>
            <w:tcW w:w="729" w:type="pct"/>
            <w:tcBorders>
              <w:top w:val="nil"/>
              <w:left w:val="nil"/>
              <w:bottom w:val="single" w:color="000000" w:sz="8" w:space="0"/>
              <w:right w:val="single" w:color="000000" w:sz="8" w:space="0"/>
            </w:tcBorders>
            <w:shd w:val="clear" w:color="auto" w:fill="auto"/>
            <w:noWrap/>
            <w:vAlign w:val="center"/>
          </w:tcPr>
          <w:p w14:paraId="0C1AE729">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2000</w:t>
            </w:r>
          </w:p>
        </w:tc>
        <w:tc>
          <w:tcPr>
            <w:tcW w:w="571" w:type="pct"/>
            <w:tcBorders>
              <w:top w:val="nil"/>
              <w:left w:val="nil"/>
              <w:bottom w:val="single" w:color="000000" w:sz="8" w:space="0"/>
              <w:right w:val="single" w:color="000000" w:sz="8" w:space="0"/>
            </w:tcBorders>
            <w:shd w:val="clear" w:color="auto" w:fill="auto"/>
            <w:noWrap/>
            <w:vAlign w:val="center"/>
          </w:tcPr>
          <w:p w14:paraId="2C118AD6">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0</w:t>
            </w:r>
          </w:p>
        </w:tc>
        <w:tc>
          <w:tcPr>
            <w:tcW w:w="581" w:type="pct"/>
            <w:tcBorders>
              <w:top w:val="nil"/>
              <w:left w:val="nil"/>
              <w:bottom w:val="single" w:color="000000" w:sz="8" w:space="0"/>
              <w:right w:val="single" w:color="000000" w:sz="8" w:space="0"/>
            </w:tcBorders>
            <w:shd w:val="clear" w:color="auto" w:fill="auto"/>
            <w:noWrap/>
            <w:vAlign w:val="center"/>
          </w:tcPr>
          <w:p w14:paraId="04BA226F">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19059</w:t>
            </w:r>
          </w:p>
        </w:tc>
      </w:tr>
      <w:tr w14:paraId="1A898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406" w:type="pct"/>
            <w:tcBorders>
              <w:top w:val="nil"/>
              <w:left w:val="single" w:color="000000" w:sz="8" w:space="0"/>
              <w:bottom w:val="single" w:color="000000" w:sz="8" w:space="0"/>
              <w:right w:val="single" w:color="000000" w:sz="8" w:space="0"/>
            </w:tcBorders>
            <w:shd w:val="clear" w:color="auto" w:fill="auto"/>
            <w:vAlign w:val="center"/>
          </w:tcPr>
          <w:p w14:paraId="4C6CBD06">
            <w:pPr>
              <w:keepNext w:val="0"/>
              <w:keepLines w:val="0"/>
              <w:widowControl/>
              <w:suppressLineNumbers w:val="0"/>
              <w:spacing w:line="300" w:lineRule="exact"/>
              <w:ind w:firstLine="0" w:firstLineChars="0"/>
              <w:jc w:val="center"/>
              <w:textAlignment w:val="center"/>
              <w:rPr>
                <w:rFonts w:hint="eastAsia" w:ascii="Times New Roman" w:hAnsi="Times New Roman" w:eastAsia="黑体" w:cs="黑体"/>
                <w:i w:val="0"/>
                <w:iCs w:val="0"/>
                <w:color w:val="auto"/>
                <w:sz w:val="24"/>
                <w:szCs w:val="24"/>
                <w:highlight w:val="none"/>
                <w:u w:val="none"/>
              </w:rPr>
            </w:pPr>
            <w:r>
              <w:rPr>
                <w:rFonts w:hint="eastAsia" w:ascii="Times New Roman" w:hAnsi="Times New Roman" w:eastAsia="黑体" w:cs="黑体"/>
                <w:i w:val="0"/>
                <w:iCs w:val="0"/>
                <w:color w:val="auto"/>
                <w:kern w:val="0"/>
                <w:sz w:val="24"/>
                <w:szCs w:val="24"/>
                <w:highlight w:val="none"/>
                <w:u w:val="none"/>
                <w:lang w:val="en-US" w:eastAsia="zh-CN" w:bidi="ar"/>
              </w:rPr>
              <w:t>二</w:t>
            </w:r>
          </w:p>
        </w:tc>
        <w:tc>
          <w:tcPr>
            <w:tcW w:w="2037" w:type="pct"/>
            <w:tcBorders>
              <w:top w:val="nil"/>
              <w:left w:val="nil"/>
              <w:bottom w:val="single" w:color="000000" w:sz="8" w:space="0"/>
              <w:right w:val="single" w:color="000000" w:sz="8" w:space="0"/>
            </w:tcBorders>
            <w:shd w:val="clear" w:color="auto" w:fill="auto"/>
            <w:vAlign w:val="center"/>
          </w:tcPr>
          <w:p w14:paraId="7AEE2870">
            <w:pPr>
              <w:keepNext w:val="0"/>
              <w:keepLines w:val="0"/>
              <w:widowControl/>
              <w:suppressLineNumbers w:val="0"/>
              <w:spacing w:line="300" w:lineRule="exact"/>
              <w:ind w:firstLine="0" w:firstLineChars="0"/>
              <w:jc w:val="left"/>
              <w:textAlignment w:val="center"/>
              <w:rPr>
                <w:rFonts w:hint="eastAsia" w:ascii="Times New Roman" w:hAnsi="Times New Roman" w:eastAsia="黑体" w:cs="黑体"/>
                <w:i w:val="0"/>
                <w:iCs w:val="0"/>
                <w:color w:val="auto"/>
                <w:sz w:val="24"/>
                <w:szCs w:val="24"/>
                <w:highlight w:val="none"/>
                <w:u w:val="none"/>
              </w:rPr>
            </w:pPr>
            <w:r>
              <w:rPr>
                <w:rFonts w:hint="eastAsia" w:ascii="Times New Roman" w:hAnsi="Times New Roman" w:eastAsia="黑体" w:cs="黑体"/>
                <w:i w:val="0"/>
                <w:iCs w:val="0"/>
                <w:color w:val="auto"/>
                <w:kern w:val="0"/>
                <w:sz w:val="24"/>
                <w:szCs w:val="24"/>
                <w:highlight w:val="none"/>
                <w:u w:val="none"/>
                <w:lang w:val="en-US" w:eastAsia="zh-CN" w:bidi="ar"/>
              </w:rPr>
              <w:t>狮头鹅加工冷链提升工程</w:t>
            </w:r>
          </w:p>
        </w:tc>
        <w:tc>
          <w:tcPr>
            <w:tcW w:w="673" w:type="pct"/>
            <w:tcBorders>
              <w:top w:val="nil"/>
              <w:left w:val="nil"/>
              <w:bottom w:val="single" w:color="000000" w:sz="8" w:space="0"/>
              <w:right w:val="single" w:color="000000" w:sz="8" w:space="0"/>
            </w:tcBorders>
            <w:shd w:val="clear" w:color="auto" w:fill="auto"/>
            <w:noWrap/>
            <w:vAlign w:val="center"/>
          </w:tcPr>
          <w:p w14:paraId="6C64B853">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13560</w:t>
            </w:r>
          </w:p>
        </w:tc>
        <w:tc>
          <w:tcPr>
            <w:tcW w:w="729" w:type="pct"/>
            <w:tcBorders>
              <w:top w:val="nil"/>
              <w:left w:val="nil"/>
              <w:bottom w:val="single" w:color="000000" w:sz="8" w:space="0"/>
              <w:right w:val="single" w:color="000000" w:sz="8" w:space="0"/>
            </w:tcBorders>
            <w:shd w:val="clear" w:color="auto" w:fill="auto"/>
            <w:noWrap/>
            <w:vAlign w:val="center"/>
          </w:tcPr>
          <w:p w14:paraId="69A025DA">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3760</w:t>
            </w:r>
          </w:p>
        </w:tc>
        <w:tc>
          <w:tcPr>
            <w:tcW w:w="571" w:type="pct"/>
            <w:tcBorders>
              <w:top w:val="nil"/>
              <w:left w:val="nil"/>
              <w:bottom w:val="single" w:color="000000" w:sz="8" w:space="0"/>
              <w:right w:val="single" w:color="000000" w:sz="8" w:space="0"/>
            </w:tcBorders>
            <w:shd w:val="clear" w:color="auto" w:fill="auto"/>
            <w:noWrap/>
            <w:vAlign w:val="center"/>
          </w:tcPr>
          <w:p w14:paraId="56BB8013">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0</w:t>
            </w:r>
          </w:p>
        </w:tc>
        <w:tc>
          <w:tcPr>
            <w:tcW w:w="581" w:type="pct"/>
            <w:tcBorders>
              <w:top w:val="nil"/>
              <w:left w:val="nil"/>
              <w:bottom w:val="single" w:color="000000" w:sz="8" w:space="0"/>
              <w:right w:val="single" w:color="000000" w:sz="8" w:space="0"/>
            </w:tcBorders>
            <w:shd w:val="clear" w:color="auto" w:fill="auto"/>
            <w:noWrap/>
            <w:vAlign w:val="center"/>
          </w:tcPr>
          <w:p w14:paraId="0797F634">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9800</w:t>
            </w:r>
          </w:p>
        </w:tc>
      </w:tr>
      <w:tr w14:paraId="467C2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406" w:type="pct"/>
            <w:tcBorders>
              <w:top w:val="nil"/>
              <w:left w:val="single" w:color="000000" w:sz="8" w:space="0"/>
              <w:bottom w:val="single" w:color="000000" w:sz="8" w:space="0"/>
              <w:right w:val="single" w:color="000000" w:sz="8" w:space="0"/>
            </w:tcBorders>
            <w:shd w:val="clear" w:color="auto" w:fill="auto"/>
            <w:vAlign w:val="center"/>
          </w:tcPr>
          <w:p w14:paraId="2BF8DBE3">
            <w:pPr>
              <w:keepNext w:val="0"/>
              <w:keepLines w:val="0"/>
              <w:widowControl/>
              <w:suppressLineNumbers w:val="0"/>
              <w:spacing w:line="300" w:lineRule="exact"/>
              <w:ind w:firstLine="0" w:firstLineChars="0"/>
              <w:jc w:val="center"/>
              <w:textAlignment w:val="center"/>
              <w:rPr>
                <w:rFonts w:hint="eastAsia" w:ascii="Times New Roman" w:hAnsi="Times New Roman" w:eastAsia="黑体" w:cs="黑体"/>
                <w:i w:val="0"/>
                <w:iCs w:val="0"/>
                <w:color w:val="auto"/>
                <w:sz w:val="24"/>
                <w:szCs w:val="24"/>
                <w:highlight w:val="none"/>
                <w:u w:val="none"/>
              </w:rPr>
            </w:pPr>
            <w:r>
              <w:rPr>
                <w:rFonts w:hint="eastAsia" w:ascii="Times New Roman" w:hAnsi="Times New Roman" w:eastAsia="黑体" w:cs="黑体"/>
                <w:i w:val="0"/>
                <w:iCs w:val="0"/>
                <w:color w:val="auto"/>
                <w:kern w:val="0"/>
                <w:sz w:val="24"/>
                <w:szCs w:val="24"/>
                <w:highlight w:val="none"/>
                <w:u w:val="none"/>
                <w:lang w:val="en-US" w:eastAsia="zh-CN" w:bidi="ar"/>
              </w:rPr>
              <w:t>三</w:t>
            </w:r>
          </w:p>
        </w:tc>
        <w:tc>
          <w:tcPr>
            <w:tcW w:w="2037" w:type="pct"/>
            <w:tcBorders>
              <w:top w:val="nil"/>
              <w:left w:val="nil"/>
              <w:bottom w:val="single" w:color="000000" w:sz="8" w:space="0"/>
              <w:right w:val="single" w:color="000000" w:sz="8" w:space="0"/>
            </w:tcBorders>
            <w:shd w:val="clear" w:color="auto" w:fill="auto"/>
            <w:vAlign w:val="center"/>
          </w:tcPr>
          <w:p w14:paraId="6EB8C91F">
            <w:pPr>
              <w:keepNext w:val="0"/>
              <w:keepLines w:val="0"/>
              <w:widowControl/>
              <w:suppressLineNumbers w:val="0"/>
              <w:spacing w:line="300" w:lineRule="exact"/>
              <w:ind w:firstLine="0" w:firstLineChars="0"/>
              <w:jc w:val="left"/>
              <w:textAlignment w:val="center"/>
              <w:rPr>
                <w:rFonts w:hint="eastAsia" w:ascii="Times New Roman" w:hAnsi="Times New Roman" w:eastAsia="黑体" w:cs="黑体"/>
                <w:i w:val="0"/>
                <w:iCs w:val="0"/>
                <w:color w:val="auto"/>
                <w:sz w:val="24"/>
                <w:szCs w:val="24"/>
                <w:highlight w:val="none"/>
                <w:u w:val="none"/>
              </w:rPr>
            </w:pPr>
            <w:r>
              <w:rPr>
                <w:rFonts w:hint="eastAsia" w:ascii="Times New Roman" w:hAnsi="Times New Roman" w:eastAsia="黑体" w:cs="黑体"/>
                <w:i w:val="0"/>
                <w:iCs w:val="0"/>
                <w:color w:val="auto"/>
                <w:kern w:val="0"/>
                <w:sz w:val="24"/>
                <w:szCs w:val="24"/>
                <w:highlight w:val="none"/>
                <w:u w:val="none"/>
                <w:lang w:val="en-US" w:eastAsia="zh-CN" w:bidi="ar"/>
              </w:rPr>
              <w:t>狮头鹅产业服务提升工程</w:t>
            </w:r>
          </w:p>
        </w:tc>
        <w:tc>
          <w:tcPr>
            <w:tcW w:w="673" w:type="pct"/>
            <w:tcBorders>
              <w:top w:val="nil"/>
              <w:left w:val="nil"/>
              <w:bottom w:val="single" w:color="000000" w:sz="8" w:space="0"/>
              <w:right w:val="single" w:color="000000" w:sz="8" w:space="0"/>
            </w:tcBorders>
            <w:shd w:val="clear" w:color="auto" w:fill="auto"/>
            <w:noWrap/>
            <w:vAlign w:val="center"/>
          </w:tcPr>
          <w:p w14:paraId="3EA089A3">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1340</w:t>
            </w:r>
          </w:p>
        </w:tc>
        <w:tc>
          <w:tcPr>
            <w:tcW w:w="729" w:type="pct"/>
            <w:tcBorders>
              <w:top w:val="nil"/>
              <w:left w:val="nil"/>
              <w:bottom w:val="single" w:color="000000" w:sz="8" w:space="0"/>
              <w:right w:val="single" w:color="000000" w:sz="8" w:space="0"/>
            </w:tcBorders>
            <w:shd w:val="clear" w:color="auto" w:fill="auto"/>
            <w:noWrap/>
            <w:vAlign w:val="center"/>
          </w:tcPr>
          <w:p w14:paraId="26E543B9">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1240</w:t>
            </w:r>
          </w:p>
        </w:tc>
        <w:tc>
          <w:tcPr>
            <w:tcW w:w="571" w:type="pct"/>
            <w:tcBorders>
              <w:top w:val="nil"/>
              <w:left w:val="nil"/>
              <w:bottom w:val="single" w:color="000000" w:sz="8" w:space="0"/>
              <w:right w:val="single" w:color="000000" w:sz="8" w:space="0"/>
            </w:tcBorders>
            <w:shd w:val="clear" w:color="auto" w:fill="auto"/>
            <w:noWrap/>
            <w:vAlign w:val="center"/>
          </w:tcPr>
          <w:p w14:paraId="042D9CBB">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100</w:t>
            </w:r>
          </w:p>
        </w:tc>
        <w:tc>
          <w:tcPr>
            <w:tcW w:w="581" w:type="pct"/>
            <w:tcBorders>
              <w:top w:val="nil"/>
              <w:left w:val="nil"/>
              <w:bottom w:val="single" w:color="000000" w:sz="8" w:space="0"/>
              <w:right w:val="single" w:color="000000" w:sz="8" w:space="0"/>
            </w:tcBorders>
            <w:shd w:val="clear" w:color="auto" w:fill="auto"/>
            <w:noWrap/>
            <w:vAlign w:val="center"/>
          </w:tcPr>
          <w:p w14:paraId="178D939D">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0</w:t>
            </w:r>
          </w:p>
        </w:tc>
      </w:tr>
      <w:tr w14:paraId="12636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406" w:type="pct"/>
            <w:tcBorders>
              <w:top w:val="nil"/>
              <w:left w:val="single" w:color="000000" w:sz="8" w:space="0"/>
              <w:bottom w:val="single" w:color="000000" w:sz="8" w:space="0"/>
              <w:right w:val="single" w:color="000000" w:sz="8" w:space="0"/>
            </w:tcBorders>
            <w:shd w:val="clear" w:color="auto" w:fill="auto"/>
            <w:vAlign w:val="center"/>
          </w:tcPr>
          <w:p w14:paraId="17F60653">
            <w:pPr>
              <w:keepNext w:val="0"/>
              <w:keepLines w:val="0"/>
              <w:widowControl/>
              <w:suppressLineNumbers w:val="0"/>
              <w:spacing w:line="300" w:lineRule="exact"/>
              <w:ind w:firstLine="0" w:firstLineChars="0"/>
              <w:jc w:val="center"/>
              <w:textAlignment w:val="center"/>
              <w:rPr>
                <w:rFonts w:hint="eastAsia" w:ascii="Times New Roman" w:hAnsi="Times New Roman" w:eastAsia="黑体" w:cs="黑体"/>
                <w:i w:val="0"/>
                <w:iCs w:val="0"/>
                <w:color w:val="auto"/>
                <w:sz w:val="24"/>
                <w:szCs w:val="24"/>
                <w:highlight w:val="none"/>
                <w:u w:val="none"/>
              </w:rPr>
            </w:pPr>
            <w:r>
              <w:rPr>
                <w:rFonts w:hint="eastAsia" w:ascii="Times New Roman" w:hAnsi="Times New Roman" w:eastAsia="黑体" w:cs="黑体"/>
                <w:i w:val="0"/>
                <w:iCs w:val="0"/>
                <w:color w:val="auto"/>
                <w:kern w:val="0"/>
                <w:sz w:val="24"/>
                <w:szCs w:val="24"/>
                <w:highlight w:val="none"/>
                <w:u w:val="none"/>
                <w:lang w:val="en-US" w:eastAsia="zh-CN" w:bidi="ar"/>
              </w:rPr>
              <w:t>四</w:t>
            </w:r>
          </w:p>
        </w:tc>
        <w:tc>
          <w:tcPr>
            <w:tcW w:w="2037" w:type="pct"/>
            <w:tcBorders>
              <w:top w:val="nil"/>
              <w:left w:val="nil"/>
              <w:bottom w:val="single" w:color="000000" w:sz="8" w:space="0"/>
              <w:right w:val="single" w:color="000000" w:sz="8" w:space="0"/>
            </w:tcBorders>
            <w:shd w:val="clear" w:color="auto" w:fill="auto"/>
            <w:vAlign w:val="center"/>
          </w:tcPr>
          <w:p w14:paraId="4DC509B9">
            <w:pPr>
              <w:keepNext w:val="0"/>
              <w:keepLines w:val="0"/>
              <w:widowControl/>
              <w:suppressLineNumbers w:val="0"/>
              <w:spacing w:line="300" w:lineRule="exact"/>
              <w:ind w:firstLine="0" w:firstLineChars="0"/>
              <w:jc w:val="left"/>
              <w:textAlignment w:val="center"/>
              <w:rPr>
                <w:rFonts w:hint="eastAsia" w:ascii="Times New Roman" w:hAnsi="Times New Roman" w:eastAsia="黑体" w:cs="黑体"/>
                <w:i w:val="0"/>
                <w:iCs w:val="0"/>
                <w:color w:val="auto"/>
                <w:sz w:val="24"/>
                <w:szCs w:val="24"/>
                <w:highlight w:val="none"/>
                <w:u w:val="none"/>
              </w:rPr>
            </w:pPr>
            <w:r>
              <w:rPr>
                <w:rFonts w:hint="eastAsia" w:ascii="Times New Roman" w:hAnsi="Times New Roman" w:eastAsia="黑体" w:cs="黑体"/>
                <w:i w:val="0"/>
                <w:iCs w:val="0"/>
                <w:color w:val="auto"/>
                <w:kern w:val="0"/>
                <w:sz w:val="24"/>
                <w:szCs w:val="24"/>
                <w:highlight w:val="none"/>
                <w:u w:val="none"/>
                <w:lang w:val="en-US" w:eastAsia="zh-CN" w:bidi="ar"/>
              </w:rPr>
              <w:t>产业兴旺助力乡村振兴工程</w:t>
            </w:r>
          </w:p>
        </w:tc>
        <w:tc>
          <w:tcPr>
            <w:tcW w:w="673" w:type="pct"/>
            <w:tcBorders>
              <w:top w:val="nil"/>
              <w:left w:val="nil"/>
              <w:bottom w:val="single" w:color="000000" w:sz="8" w:space="0"/>
              <w:right w:val="single" w:color="000000" w:sz="8" w:space="0"/>
            </w:tcBorders>
            <w:shd w:val="clear" w:color="auto" w:fill="auto"/>
            <w:noWrap/>
            <w:vAlign w:val="center"/>
          </w:tcPr>
          <w:p w14:paraId="76B03F04">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155393</w:t>
            </w:r>
          </w:p>
        </w:tc>
        <w:tc>
          <w:tcPr>
            <w:tcW w:w="729" w:type="pct"/>
            <w:tcBorders>
              <w:top w:val="nil"/>
              <w:left w:val="nil"/>
              <w:bottom w:val="single" w:color="000000" w:sz="8" w:space="0"/>
              <w:right w:val="single" w:color="000000" w:sz="8" w:space="0"/>
            </w:tcBorders>
            <w:shd w:val="clear" w:color="auto" w:fill="auto"/>
            <w:noWrap/>
            <w:vAlign w:val="center"/>
          </w:tcPr>
          <w:p w14:paraId="3E1655A5">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0</w:t>
            </w:r>
          </w:p>
        </w:tc>
        <w:tc>
          <w:tcPr>
            <w:tcW w:w="571" w:type="pct"/>
            <w:tcBorders>
              <w:top w:val="nil"/>
              <w:left w:val="nil"/>
              <w:bottom w:val="single" w:color="000000" w:sz="8" w:space="0"/>
              <w:right w:val="single" w:color="000000" w:sz="8" w:space="0"/>
            </w:tcBorders>
            <w:shd w:val="clear" w:color="auto" w:fill="auto"/>
            <w:noWrap/>
            <w:vAlign w:val="center"/>
          </w:tcPr>
          <w:p w14:paraId="79CA8265">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75080</w:t>
            </w:r>
          </w:p>
        </w:tc>
        <w:tc>
          <w:tcPr>
            <w:tcW w:w="581" w:type="pct"/>
            <w:tcBorders>
              <w:top w:val="nil"/>
              <w:left w:val="nil"/>
              <w:bottom w:val="single" w:color="000000" w:sz="8" w:space="0"/>
              <w:right w:val="single" w:color="000000" w:sz="8" w:space="0"/>
            </w:tcBorders>
            <w:shd w:val="clear" w:color="auto" w:fill="auto"/>
            <w:noWrap/>
            <w:vAlign w:val="center"/>
          </w:tcPr>
          <w:p w14:paraId="03BB5BDA">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80313</w:t>
            </w:r>
          </w:p>
        </w:tc>
      </w:tr>
      <w:tr w14:paraId="055EF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444" w:type="pct"/>
            <w:gridSpan w:val="2"/>
            <w:tcBorders>
              <w:top w:val="nil"/>
              <w:left w:val="single" w:color="000000" w:sz="8" w:space="0"/>
              <w:bottom w:val="single" w:color="000000" w:sz="8" w:space="0"/>
              <w:right w:val="single" w:color="000000" w:sz="8" w:space="0"/>
            </w:tcBorders>
            <w:shd w:val="clear" w:color="auto" w:fill="auto"/>
            <w:vAlign w:val="center"/>
          </w:tcPr>
          <w:p w14:paraId="2D082196">
            <w:pPr>
              <w:keepNext w:val="0"/>
              <w:keepLines w:val="0"/>
              <w:widowControl/>
              <w:suppressLineNumbers w:val="0"/>
              <w:spacing w:line="300" w:lineRule="exact"/>
              <w:ind w:firstLine="0" w:firstLineChars="0"/>
              <w:jc w:val="center"/>
              <w:textAlignment w:val="center"/>
              <w:rPr>
                <w:rFonts w:hint="eastAsia" w:ascii="Times New Roman" w:hAnsi="Times New Roman" w:eastAsia="黑体" w:cs="黑体"/>
                <w:b/>
                <w:bCs/>
                <w:i w:val="0"/>
                <w:iCs w:val="0"/>
                <w:color w:val="auto"/>
                <w:sz w:val="24"/>
                <w:szCs w:val="24"/>
                <w:highlight w:val="none"/>
                <w:u w:val="none"/>
              </w:rPr>
            </w:pPr>
            <w:r>
              <w:rPr>
                <w:rFonts w:hint="eastAsia" w:ascii="Times New Roman" w:hAnsi="Times New Roman" w:eastAsia="黑体" w:cs="黑体"/>
                <w:b/>
                <w:bCs/>
                <w:i w:val="0"/>
                <w:iCs w:val="0"/>
                <w:color w:val="auto"/>
                <w:kern w:val="0"/>
                <w:sz w:val="24"/>
                <w:szCs w:val="24"/>
                <w:highlight w:val="none"/>
                <w:u w:val="none"/>
                <w:lang w:val="en-US" w:eastAsia="zh-CN" w:bidi="ar"/>
              </w:rPr>
              <w:t>合计</w:t>
            </w:r>
          </w:p>
        </w:tc>
        <w:tc>
          <w:tcPr>
            <w:tcW w:w="673" w:type="pct"/>
            <w:tcBorders>
              <w:top w:val="nil"/>
              <w:left w:val="nil"/>
              <w:bottom w:val="single" w:color="000000" w:sz="8" w:space="0"/>
              <w:right w:val="single" w:color="000000" w:sz="8" w:space="0"/>
            </w:tcBorders>
            <w:shd w:val="clear" w:color="auto" w:fill="auto"/>
            <w:vAlign w:val="center"/>
          </w:tcPr>
          <w:p w14:paraId="120FADAB">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highlight w:val="none"/>
                <w:u w:val="none"/>
              </w:rPr>
            </w:pPr>
            <w:r>
              <w:rPr>
                <w:rFonts w:hint="default" w:ascii="Times New Roman" w:hAnsi="Times New Roman" w:eastAsia="宋体" w:cs="Times New Roman"/>
                <w:b/>
                <w:bCs/>
                <w:i w:val="0"/>
                <w:iCs w:val="0"/>
                <w:color w:val="auto"/>
                <w:kern w:val="0"/>
                <w:sz w:val="24"/>
                <w:szCs w:val="24"/>
                <w:highlight w:val="none"/>
                <w:u w:val="none"/>
                <w:lang w:val="en-US" w:eastAsia="zh-CN" w:bidi="ar"/>
              </w:rPr>
              <w:t>191352</w:t>
            </w:r>
          </w:p>
        </w:tc>
        <w:tc>
          <w:tcPr>
            <w:tcW w:w="729" w:type="pct"/>
            <w:tcBorders>
              <w:top w:val="nil"/>
              <w:left w:val="nil"/>
              <w:bottom w:val="single" w:color="000000" w:sz="8" w:space="0"/>
              <w:right w:val="single" w:color="000000" w:sz="8" w:space="0"/>
            </w:tcBorders>
            <w:shd w:val="clear" w:color="auto" w:fill="auto"/>
            <w:vAlign w:val="center"/>
          </w:tcPr>
          <w:p w14:paraId="5080A7CA">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highlight w:val="none"/>
                <w:u w:val="none"/>
              </w:rPr>
            </w:pPr>
            <w:r>
              <w:rPr>
                <w:rFonts w:hint="default" w:ascii="Times New Roman" w:hAnsi="Times New Roman" w:eastAsia="宋体" w:cs="Times New Roman"/>
                <w:b/>
                <w:bCs/>
                <w:i w:val="0"/>
                <w:iCs w:val="0"/>
                <w:color w:val="auto"/>
                <w:kern w:val="0"/>
                <w:sz w:val="24"/>
                <w:szCs w:val="24"/>
                <w:highlight w:val="none"/>
                <w:u w:val="none"/>
                <w:lang w:val="en-US" w:eastAsia="zh-CN" w:bidi="ar"/>
              </w:rPr>
              <w:t>7000</w:t>
            </w:r>
          </w:p>
        </w:tc>
        <w:tc>
          <w:tcPr>
            <w:tcW w:w="571" w:type="pct"/>
            <w:tcBorders>
              <w:top w:val="nil"/>
              <w:left w:val="nil"/>
              <w:bottom w:val="single" w:color="000000" w:sz="8" w:space="0"/>
              <w:right w:val="single" w:color="000000" w:sz="8" w:space="0"/>
            </w:tcBorders>
            <w:shd w:val="clear" w:color="auto" w:fill="auto"/>
            <w:vAlign w:val="center"/>
          </w:tcPr>
          <w:p w14:paraId="63F5D934">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highlight w:val="none"/>
                <w:u w:val="none"/>
              </w:rPr>
            </w:pPr>
            <w:r>
              <w:rPr>
                <w:rFonts w:hint="default" w:ascii="Times New Roman" w:hAnsi="Times New Roman" w:eastAsia="宋体" w:cs="Times New Roman"/>
                <w:b/>
                <w:bCs/>
                <w:i w:val="0"/>
                <w:iCs w:val="0"/>
                <w:color w:val="auto"/>
                <w:kern w:val="0"/>
                <w:sz w:val="24"/>
                <w:szCs w:val="24"/>
                <w:highlight w:val="none"/>
                <w:u w:val="none"/>
                <w:lang w:val="en-US" w:eastAsia="zh-CN" w:bidi="ar"/>
              </w:rPr>
              <w:t>75180</w:t>
            </w:r>
          </w:p>
        </w:tc>
        <w:tc>
          <w:tcPr>
            <w:tcW w:w="581" w:type="pct"/>
            <w:tcBorders>
              <w:top w:val="nil"/>
              <w:left w:val="nil"/>
              <w:bottom w:val="single" w:color="000000" w:sz="8" w:space="0"/>
              <w:right w:val="single" w:color="000000" w:sz="8" w:space="0"/>
            </w:tcBorders>
            <w:shd w:val="clear" w:color="auto" w:fill="auto"/>
            <w:vAlign w:val="center"/>
          </w:tcPr>
          <w:p w14:paraId="16D137A4">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highlight w:val="none"/>
                <w:u w:val="none"/>
              </w:rPr>
            </w:pPr>
            <w:r>
              <w:rPr>
                <w:rFonts w:hint="default" w:ascii="Times New Roman" w:hAnsi="Times New Roman" w:eastAsia="宋体" w:cs="Times New Roman"/>
                <w:b/>
                <w:bCs/>
                <w:i w:val="0"/>
                <w:iCs w:val="0"/>
                <w:color w:val="auto"/>
                <w:kern w:val="0"/>
                <w:sz w:val="24"/>
                <w:szCs w:val="24"/>
                <w:highlight w:val="none"/>
                <w:u w:val="none"/>
                <w:lang w:val="en-US" w:eastAsia="zh-CN" w:bidi="ar"/>
              </w:rPr>
              <w:t>109172</w:t>
            </w:r>
          </w:p>
        </w:tc>
      </w:tr>
      <w:tr w14:paraId="79CDA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444" w:type="pct"/>
            <w:gridSpan w:val="2"/>
            <w:tcBorders>
              <w:top w:val="nil"/>
              <w:left w:val="single" w:color="000000" w:sz="8" w:space="0"/>
              <w:bottom w:val="single" w:color="000000" w:sz="8" w:space="0"/>
              <w:right w:val="single" w:color="000000" w:sz="8" w:space="0"/>
            </w:tcBorders>
            <w:shd w:val="clear" w:color="auto" w:fill="auto"/>
            <w:vAlign w:val="center"/>
          </w:tcPr>
          <w:p w14:paraId="785786EC">
            <w:pPr>
              <w:keepNext w:val="0"/>
              <w:keepLines w:val="0"/>
              <w:widowControl/>
              <w:suppressLineNumbers w:val="0"/>
              <w:spacing w:line="300" w:lineRule="exact"/>
              <w:ind w:firstLine="0" w:firstLineChars="0"/>
              <w:jc w:val="center"/>
              <w:textAlignment w:val="center"/>
              <w:rPr>
                <w:rFonts w:hint="eastAsia" w:ascii="Times New Roman" w:hAnsi="Times New Roman" w:eastAsia="黑体" w:cs="黑体"/>
                <w:b/>
                <w:bCs/>
                <w:i w:val="0"/>
                <w:iCs w:val="0"/>
                <w:color w:val="auto"/>
                <w:sz w:val="24"/>
                <w:szCs w:val="24"/>
                <w:highlight w:val="none"/>
                <w:u w:val="none"/>
              </w:rPr>
            </w:pPr>
            <w:r>
              <w:rPr>
                <w:rFonts w:hint="eastAsia" w:ascii="Times New Roman" w:hAnsi="Times New Roman" w:eastAsia="黑体" w:cs="黑体"/>
                <w:b/>
                <w:bCs/>
                <w:i w:val="0"/>
                <w:iCs w:val="0"/>
                <w:color w:val="auto"/>
                <w:kern w:val="0"/>
                <w:sz w:val="24"/>
                <w:szCs w:val="24"/>
                <w:highlight w:val="none"/>
                <w:u w:val="none"/>
                <w:lang w:val="en-US" w:eastAsia="zh-CN" w:bidi="ar"/>
              </w:rPr>
              <w:t>占比（</w:t>
            </w:r>
            <w:r>
              <w:rPr>
                <w:rFonts w:hint="default" w:ascii="Times New Roman" w:hAnsi="Times New Roman" w:eastAsia="黑体" w:cs="Times New Roman"/>
                <w:b/>
                <w:bCs/>
                <w:i w:val="0"/>
                <w:iCs w:val="0"/>
                <w:color w:val="auto"/>
                <w:kern w:val="0"/>
                <w:sz w:val="24"/>
                <w:szCs w:val="24"/>
                <w:highlight w:val="none"/>
                <w:u w:val="none"/>
                <w:lang w:val="en-US" w:eastAsia="zh-CN" w:bidi="ar"/>
              </w:rPr>
              <w:t>%</w:t>
            </w:r>
            <w:r>
              <w:rPr>
                <w:rFonts w:hint="eastAsia" w:ascii="Times New Roman" w:hAnsi="Times New Roman" w:eastAsia="黑体" w:cs="黑体"/>
                <w:b/>
                <w:bCs/>
                <w:i w:val="0"/>
                <w:iCs w:val="0"/>
                <w:color w:val="auto"/>
                <w:kern w:val="0"/>
                <w:sz w:val="24"/>
                <w:szCs w:val="24"/>
                <w:highlight w:val="none"/>
                <w:u w:val="none"/>
                <w:lang w:val="en-US" w:eastAsia="zh-CN" w:bidi="ar"/>
              </w:rPr>
              <w:t>）</w:t>
            </w:r>
          </w:p>
        </w:tc>
        <w:tc>
          <w:tcPr>
            <w:tcW w:w="673" w:type="pct"/>
            <w:tcBorders>
              <w:top w:val="nil"/>
              <w:left w:val="nil"/>
              <w:bottom w:val="single" w:color="000000" w:sz="8" w:space="0"/>
              <w:right w:val="single" w:color="000000" w:sz="8" w:space="0"/>
            </w:tcBorders>
            <w:shd w:val="clear" w:color="auto" w:fill="auto"/>
            <w:vAlign w:val="center"/>
          </w:tcPr>
          <w:p w14:paraId="20BFF9FF">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highlight w:val="none"/>
                <w:u w:val="none"/>
              </w:rPr>
            </w:pPr>
            <w:r>
              <w:rPr>
                <w:rFonts w:hint="default" w:ascii="Times New Roman" w:hAnsi="Times New Roman" w:eastAsia="宋体" w:cs="Times New Roman"/>
                <w:b/>
                <w:bCs/>
                <w:i w:val="0"/>
                <w:iCs w:val="0"/>
                <w:color w:val="auto"/>
                <w:kern w:val="0"/>
                <w:sz w:val="24"/>
                <w:szCs w:val="24"/>
                <w:highlight w:val="none"/>
                <w:u w:val="none"/>
                <w:lang w:val="en-US" w:eastAsia="zh-CN" w:bidi="ar"/>
              </w:rPr>
              <w:t>100</w:t>
            </w:r>
          </w:p>
        </w:tc>
        <w:tc>
          <w:tcPr>
            <w:tcW w:w="729" w:type="pct"/>
            <w:tcBorders>
              <w:top w:val="nil"/>
              <w:left w:val="nil"/>
              <w:bottom w:val="single" w:color="000000" w:sz="8" w:space="0"/>
              <w:right w:val="single" w:color="000000" w:sz="8" w:space="0"/>
            </w:tcBorders>
            <w:shd w:val="clear" w:color="auto" w:fill="auto"/>
            <w:vAlign w:val="center"/>
          </w:tcPr>
          <w:p w14:paraId="58D1B980">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highlight w:val="none"/>
                <w:u w:val="none"/>
              </w:rPr>
            </w:pPr>
            <w:r>
              <w:rPr>
                <w:rFonts w:hint="default" w:ascii="Times New Roman" w:hAnsi="Times New Roman" w:eastAsia="宋体" w:cs="Times New Roman"/>
                <w:b/>
                <w:bCs/>
                <w:i w:val="0"/>
                <w:iCs w:val="0"/>
                <w:color w:val="auto"/>
                <w:kern w:val="0"/>
                <w:sz w:val="24"/>
                <w:szCs w:val="24"/>
                <w:highlight w:val="none"/>
                <w:u w:val="none"/>
                <w:lang w:val="en-US" w:eastAsia="zh-CN" w:bidi="ar"/>
              </w:rPr>
              <w:t xml:space="preserve">3.66 </w:t>
            </w:r>
          </w:p>
        </w:tc>
        <w:tc>
          <w:tcPr>
            <w:tcW w:w="571" w:type="pct"/>
            <w:tcBorders>
              <w:top w:val="nil"/>
              <w:left w:val="nil"/>
              <w:bottom w:val="single" w:color="000000" w:sz="8" w:space="0"/>
              <w:right w:val="single" w:color="000000" w:sz="8" w:space="0"/>
            </w:tcBorders>
            <w:shd w:val="clear" w:color="auto" w:fill="auto"/>
            <w:vAlign w:val="center"/>
          </w:tcPr>
          <w:p w14:paraId="54FFFAE9">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highlight w:val="none"/>
                <w:u w:val="none"/>
              </w:rPr>
            </w:pPr>
            <w:r>
              <w:rPr>
                <w:rFonts w:hint="default" w:ascii="Times New Roman" w:hAnsi="Times New Roman" w:eastAsia="宋体" w:cs="Times New Roman"/>
                <w:b/>
                <w:bCs/>
                <w:i w:val="0"/>
                <w:iCs w:val="0"/>
                <w:color w:val="auto"/>
                <w:kern w:val="0"/>
                <w:sz w:val="24"/>
                <w:szCs w:val="24"/>
                <w:highlight w:val="none"/>
                <w:u w:val="none"/>
                <w:lang w:val="en-US" w:eastAsia="zh-CN" w:bidi="ar"/>
              </w:rPr>
              <w:t xml:space="preserve">39.29 </w:t>
            </w:r>
          </w:p>
        </w:tc>
        <w:tc>
          <w:tcPr>
            <w:tcW w:w="581" w:type="pct"/>
            <w:tcBorders>
              <w:top w:val="nil"/>
              <w:left w:val="nil"/>
              <w:bottom w:val="single" w:color="000000" w:sz="8" w:space="0"/>
              <w:right w:val="single" w:color="000000" w:sz="8" w:space="0"/>
            </w:tcBorders>
            <w:shd w:val="clear" w:color="auto" w:fill="auto"/>
            <w:vAlign w:val="center"/>
          </w:tcPr>
          <w:p w14:paraId="65BBD2AE">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highlight w:val="none"/>
                <w:u w:val="none"/>
              </w:rPr>
            </w:pPr>
            <w:r>
              <w:rPr>
                <w:rFonts w:hint="default" w:ascii="Times New Roman" w:hAnsi="Times New Roman" w:eastAsia="宋体" w:cs="Times New Roman"/>
                <w:b/>
                <w:bCs/>
                <w:i w:val="0"/>
                <w:iCs w:val="0"/>
                <w:color w:val="auto"/>
                <w:kern w:val="0"/>
                <w:sz w:val="24"/>
                <w:szCs w:val="24"/>
                <w:highlight w:val="none"/>
                <w:u w:val="none"/>
                <w:lang w:val="en-US" w:eastAsia="zh-CN" w:bidi="ar"/>
              </w:rPr>
              <w:t xml:space="preserve">57.05 </w:t>
            </w:r>
          </w:p>
        </w:tc>
      </w:tr>
    </w:tbl>
    <w:p w14:paraId="21E12635">
      <w:pPr>
        <w:bidi w:val="0"/>
        <w:ind w:firstLine="0" w:firstLineChars="0"/>
        <w:rPr>
          <w:rFonts w:hint="eastAsia" w:ascii="Times New Roman" w:hAnsi="Times New Roman"/>
          <w:color w:val="auto"/>
          <w:highlight w:val="none"/>
          <w:lang w:val="en-US" w:eastAsia="zh-CN"/>
        </w:rPr>
      </w:pPr>
    </w:p>
    <w:p w14:paraId="7546865F">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 w:val="32"/>
          <w:szCs w:val="32"/>
          <w:highlight w:val="none"/>
          <w:lang w:val="en-US" w:eastAsia="zh-CN"/>
        </w:rPr>
      </w:pPr>
      <w:r>
        <w:rPr>
          <w:rFonts w:hint="default" w:ascii="Times New Roman" w:hAnsi="Times New Roman" w:cs="仿宋_GB2312"/>
          <w:color w:val="auto"/>
          <w:sz w:val="32"/>
          <w:szCs w:val="32"/>
          <w:highlight w:val="none"/>
          <w:lang w:val="en-US" w:eastAsia="zh-CN"/>
        </w:rPr>
        <w:t>2.中央财政奖补资金使用方案</w:t>
      </w:r>
      <w:bookmarkEnd w:id="223"/>
      <w:bookmarkEnd w:id="224"/>
      <w:bookmarkEnd w:id="225"/>
    </w:p>
    <w:p w14:paraId="521E538D">
      <w:pPr>
        <w:pageBreakBefore w:val="0"/>
        <w:kinsoku/>
        <w:overflowPunct/>
        <w:topLinePunct w:val="0"/>
        <w:autoSpaceDE/>
        <w:autoSpaceDN/>
        <w:bidi w:val="0"/>
        <w:adjustRightInd/>
        <w:snapToGrid/>
        <w:spacing w:line="590" w:lineRule="exact"/>
        <w:ind w:firstLine="640"/>
        <w:jc w:val="left"/>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中央财政奖补资金</w:t>
      </w:r>
      <w:r>
        <w:rPr>
          <w:rFonts w:hint="eastAsia" w:ascii="Times New Roman" w:hAnsi="Times New Roman" w:cs="Times New Roman"/>
          <w:color w:val="auto"/>
          <w:sz w:val="32"/>
          <w:highlight w:val="none"/>
          <w:lang w:val="en-US" w:eastAsia="zh-CN"/>
        </w:rPr>
        <w:t>7000</w:t>
      </w:r>
      <w:r>
        <w:rPr>
          <w:rFonts w:hint="default" w:ascii="Times New Roman" w:hAnsi="Times New Roman" w:eastAsia="仿宋_GB2312" w:cs="Times New Roman"/>
          <w:color w:val="auto"/>
          <w:sz w:val="32"/>
          <w:highlight w:val="none"/>
        </w:rPr>
        <w:t>万元，主要用于高标准狮头鹅养殖基地、一二三产融合、现代要素集聚等方面建设，其中，标准化狮头鹅养殖基地建设工程投资</w:t>
      </w:r>
      <w:r>
        <w:rPr>
          <w:rFonts w:hint="eastAsia" w:ascii="Times New Roman" w:hAnsi="Times New Roman" w:cs="Times New Roman"/>
          <w:color w:val="auto"/>
          <w:sz w:val="32"/>
          <w:highlight w:val="none"/>
          <w:lang w:val="en-US" w:eastAsia="zh-CN"/>
        </w:rPr>
        <w:t>2000</w:t>
      </w:r>
      <w:r>
        <w:rPr>
          <w:rFonts w:hint="default" w:ascii="Times New Roman" w:hAnsi="Times New Roman" w:eastAsia="仿宋_GB2312" w:cs="Times New Roman"/>
          <w:color w:val="auto"/>
          <w:sz w:val="32"/>
          <w:highlight w:val="none"/>
        </w:rPr>
        <w:t>万元，占总投资的</w:t>
      </w:r>
      <w:r>
        <w:rPr>
          <w:rFonts w:hint="eastAsia" w:ascii="Times New Roman" w:hAnsi="Times New Roman" w:cs="Times New Roman"/>
          <w:color w:val="auto"/>
          <w:sz w:val="32"/>
          <w:highlight w:val="none"/>
          <w:lang w:val="en-US" w:eastAsia="zh-CN"/>
        </w:rPr>
        <w:t>28.58</w:t>
      </w:r>
      <w:r>
        <w:rPr>
          <w:rFonts w:hint="default" w:ascii="Times New Roman" w:hAnsi="Times New Roman" w:eastAsia="仿宋_GB2312" w:cs="Times New Roman"/>
          <w:color w:val="auto"/>
          <w:sz w:val="32"/>
          <w:highlight w:val="none"/>
        </w:rPr>
        <w:t>%；狮头鹅加工冷链提升工程</w:t>
      </w:r>
      <w:r>
        <w:rPr>
          <w:rFonts w:hint="eastAsia" w:ascii="Times New Roman" w:hAnsi="Times New Roman" w:cs="Times New Roman"/>
          <w:color w:val="auto"/>
          <w:sz w:val="32"/>
          <w:highlight w:val="none"/>
          <w:lang w:val="en-US" w:eastAsia="zh-CN"/>
        </w:rPr>
        <w:t>投资3760万元</w:t>
      </w:r>
      <w:r>
        <w:rPr>
          <w:rFonts w:hint="default" w:ascii="Times New Roman" w:hAnsi="Times New Roman" w:eastAsia="仿宋_GB2312" w:cs="Times New Roman"/>
          <w:color w:val="auto"/>
          <w:sz w:val="32"/>
          <w:highlight w:val="none"/>
        </w:rPr>
        <w:t>，占总投资的</w:t>
      </w:r>
      <w:r>
        <w:rPr>
          <w:rFonts w:hint="eastAsia" w:ascii="Times New Roman" w:hAnsi="Times New Roman" w:cs="Times New Roman"/>
          <w:color w:val="auto"/>
          <w:sz w:val="32"/>
          <w:highlight w:val="none"/>
          <w:lang w:val="en-US" w:eastAsia="zh-CN"/>
        </w:rPr>
        <w:t>53.71</w:t>
      </w:r>
      <w:r>
        <w:rPr>
          <w:rFonts w:hint="default" w:ascii="Times New Roman" w:hAnsi="Times New Roman" w:eastAsia="仿宋_GB2312" w:cs="Times New Roman"/>
          <w:color w:val="auto"/>
          <w:sz w:val="32"/>
          <w:highlight w:val="none"/>
        </w:rPr>
        <w:t>%；狮头鹅产业服务提升工程</w:t>
      </w:r>
      <w:r>
        <w:rPr>
          <w:rFonts w:hint="eastAsia" w:ascii="Times New Roman" w:hAnsi="Times New Roman" w:cs="Times New Roman"/>
          <w:color w:val="auto"/>
          <w:sz w:val="32"/>
          <w:highlight w:val="none"/>
          <w:lang w:val="en-US" w:eastAsia="zh-CN"/>
        </w:rPr>
        <w:t>投资1240</w:t>
      </w:r>
      <w:r>
        <w:rPr>
          <w:rFonts w:hint="default" w:ascii="Times New Roman" w:hAnsi="Times New Roman" w:eastAsia="仿宋_GB2312" w:cs="Times New Roman"/>
          <w:color w:val="auto"/>
          <w:sz w:val="32"/>
          <w:highlight w:val="none"/>
        </w:rPr>
        <w:t>万元，占总投资的</w:t>
      </w:r>
      <w:r>
        <w:rPr>
          <w:rFonts w:hint="eastAsia" w:ascii="Times New Roman" w:hAnsi="Times New Roman" w:cs="Times New Roman"/>
          <w:color w:val="auto"/>
          <w:sz w:val="32"/>
          <w:highlight w:val="none"/>
          <w:lang w:val="en-US" w:eastAsia="zh-CN"/>
        </w:rPr>
        <w:t>17.71</w:t>
      </w:r>
      <w:r>
        <w:rPr>
          <w:rFonts w:hint="default" w:ascii="Times New Roman" w:hAnsi="Times New Roman" w:eastAsia="仿宋_GB2312" w:cs="Times New Roman"/>
          <w:color w:val="auto"/>
          <w:sz w:val="32"/>
          <w:highlight w:val="none"/>
        </w:rPr>
        <w:t>%。</w:t>
      </w:r>
    </w:p>
    <w:p w14:paraId="6802DE38">
      <w:pPr>
        <w:pageBreakBefore w:val="0"/>
        <w:kinsoku/>
        <w:overflowPunct/>
        <w:topLinePunct w:val="0"/>
        <w:autoSpaceDE/>
        <w:autoSpaceDN/>
        <w:bidi w:val="0"/>
        <w:adjustRightInd/>
        <w:snapToGrid/>
        <w:spacing w:line="590" w:lineRule="exact"/>
        <w:jc w:val="center"/>
        <w:rPr>
          <w:rFonts w:hint="default" w:ascii="Times New Roman" w:hAnsi="Times New Roman" w:eastAsia="黑体" w:cs="Times New Roman"/>
          <w:b w:val="0"/>
          <w:bCs w:val="0"/>
          <w:color w:val="auto"/>
          <w:sz w:val="28"/>
          <w:szCs w:val="28"/>
          <w:highlight w:val="none"/>
        </w:rPr>
      </w:pPr>
    </w:p>
    <w:p w14:paraId="2A27D40C">
      <w:pPr>
        <w:pageBreakBefore w:val="0"/>
        <w:kinsoku/>
        <w:overflowPunct/>
        <w:topLinePunct w:val="0"/>
        <w:autoSpaceDE/>
        <w:autoSpaceDN/>
        <w:bidi w:val="0"/>
        <w:adjustRightInd/>
        <w:snapToGrid/>
        <w:spacing w:line="590" w:lineRule="exact"/>
        <w:ind w:left="0" w:leftChars="0" w:firstLine="0" w:firstLineChars="0"/>
        <w:jc w:val="center"/>
        <w:rPr>
          <w:rFonts w:hint="default" w:ascii="Times New Roman" w:hAnsi="Times New Roman" w:eastAsia="黑体" w:cs="Times New Roman"/>
          <w:b w:val="0"/>
          <w:bCs w:val="0"/>
          <w:color w:val="auto"/>
          <w:sz w:val="28"/>
          <w:szCs w:val="28"/>
          <w:highlight w:val="none"/>
        </w:rPr>
      </w:pPr>
      <w:r>
        <w:rPr>
          <w:rFonts w:hint="default" w:ascii="Times New Roman" w:hAnsi="Times New Roman" w:eastAsia="黑体" w:cs="Times New Roman"/>
          <w:b w:val="0"/>
          <w:bCs w:val="0"/>
          <w:color w:val="auto"/>
          <w:sz w:val="28"/>
          <w:szCs w:val="28"/>
          <w:highlight w:val="none"/>
        </w:rPr>
        <w:t>中央财政奖补资金使用方案</w:t>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2"/>
        <w:gridCol w:w="4619"/>
        <w:gridCol w:w="2630"/>
        <w:gridCol w:w="1331"/>
      </w:tblGrid>
      <w:tr w14:paraId="1B751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3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7ED5A6A">
            <w:pPr>
              <w:keepNext w:val="0"/>
              <w:keepLines w:val="0"/>
              <w:widowControl/>
              <w:suppressLineNumbers w:val="0"/>
              <w:spacing w:line="300" w:lineRule="exact"/>
              <w:ind w:firstLine="0" w:firstLineChars="0"/>
              <w:jc w:val="center"/>
              <w:textAlignment w:val="center"/>
              <w:rPr>
                <w:rFonts w:ascii="Times New Roman" w:hAnsi="Times New Roman" w:eastAsia="黑体" w:cs="黑体"/>
                <w:b/>
                <w:bCs/>
                <w:i w:val="0"/>
                <w:iCs w:val="0"/>
                <w:color w:val="auto"/>
                <w:sz w:val="24"/>
                <w:szCs w:val="24"/>
                <w:highlight w:val="none"/>
                <w:u w:val="none"/>
              </w:rPr>
            </w:pPr>
            <w:r>
              <w:rPr>
                <w:rFonts w:hint="eastAsia" w:ascii="Times New Roman" w:hAnsi="Times New Roman" w:eastAsia="黑体" w:cs="黑体"/>
                <w:b/>
                <w:bCs/>
                <w:i w:val="0"/>
                <w:iCs w:val="0"/>
                <w:color w:val="auto"/>
                <w:kern w:val="0"/>
                <w:sz w:val="24"/>
                <w:szCs w:val="24"/>
                <w:highlight w:val="none"/>
                <w:u w:val="none"/>
                <w:lang w:val="en-US" w:eastAsia="zh-CN" w:bidi="ar"/>
              </w:rPr>
              <w:t>序号</w:t>
            </w:r>
          </w:p>
        </w:tc>
        <w:tc>
          <w:tcPr>
            <w:tcW w:w="2498" w:type="pct"/>
            <w:tcBorders>
              <w:top w:val="single" w:color="000000" w:sz="8" w:space="0"/>
              <w:left w:val="nil"/>
              <w:bottom w:val="single" w:color="000000" w:sz="8" w:space="0"/>
              <w:right w:val="single" w:color="000000" w:sz="8" w:space="0"/>
            </w:tcBorders>
            <w:shd w:val="clear" w:color="auto" w:fill="auto"/>
            <w:noWrap/>
            <w:vAlign w:val="center"/>
          </w:tcPr>
          <w:p w14:paraId="54A20F48">
            <w:pPr>
              <w:keepNext w:val="0"/>
              <w:keepLines w:val="0"/>
              <w:widowControl/>
              <w:suppressLineNumbers w:val="0"/>
              <w:spacing w:line="300" w:lineRule="exact"/>
              <w:ind w:firstLine="0" w:firstLineChars="0"/>
              <w:jc w:val="center"/>
              <w:textAlignment w:val="center"/>
              <w:rPr>
                <w:rFonts w:hint="eastAsia" w:ascii="Times New Roman" w:hAnsi="Times New Roman" w:eastAsia="黑体" w:cs="黑体"/>
                <w:b/>
                <w:bCs/>
                <w:i w:val="0"/>
                <w:iCs w:val="0"/>
                <w:color w:val="auto"/>
                <w:sz w:val="24"/>
                <w:szCs w:val="24"/>
                <w:highlight w:val="none"/>
                <w:u w:val="none"/>
              </w:rPr>
            </w:pPr>
            <w:r>
              <w:rPr>
                <w:rFonts w:hint="eastAsia" w:ascii="Times New Roman" w:hAnsi="Times New Roman" w:eastAsia="黑体" w:cs="黑体"/>
                <w:b/>
                <w:bCs/>
                <w:i w:val="0"/>
                <w:iCs w:val="0"/>
                <w:color w:val="auto"/>
                <w:kern w:val="0"/>
                <w:sz w:val="24"/>
                <w:szCs w:val="24"/>
                <w:highlight w:val="none"/>
                <w:u w:val="none"/>
                <w:lang w:val="en-US" w:eastAsia="zh-CN" w:bidi="ar"/>
              </w:rPr>
              <w:t>项目名称</w:t>
            </w:r>
          </w:p>
        </w:tc>
        <w:tc>
          <w:tcPr>
            <w:tcW w:w="1422" w:type="pct"/>
            <w:tcBorders>
              <w:top w:val="single" w:color="000000" w:sz="8" w:space="0"/>
              <w:left w:val="nil"/>
              <w:bottom w:val="single" w:color="000000" w:sz="8" w:space="0"/>
              <w:right w:val="single" w:color="000000" w:sz="8" w:space="0"/>
            </w:tcBorders>
            <w:shd w:val="clear" w:color="auto" w:fill="auto"/>
            <w:noWrap/>
            <w:vAlign w:val="center"/>
          </w:tcPr>
          <w:p w14:paraId="4EB1C32D">
            <w:pPr>
              <w:keepNext w:val="0"/>
              <w:keepLines w:val="0"/>
              <w:widowControl/>
              <w:suppressLineNumbers w:val="0"/>
              <w:spacing w:line="300" w:lineRule="exact"/>
              <w:ind w:firstLine="0" w:firstLineChars="0"/>
              <w:jc w:val="center"/>
              <w:textAlignment w:val="center"/>
              <w:rPr>
                <w:rFonts w:hint="eastAsia" w:ascii="Times New Roman" w:hAnsi="Times New Roman" w:eastAsia="黑体" w:cs="黑体"/>
                <w:b/>
                <w:bCs/>
                <w:i w:val="0"/>
                <w:iCs w:val="0"/>
                <w:color w:val="auto"/>
                <w:sz w:val="24"/>
                <w:szCs w:val="24"/>
                <w:highlight w:val="none"/>
                <w:u w:val="none"/>
              </w:rPr>
            </w:pPr>
            <w:r>
              <w:rPr>
                <w:rFonts w:hint="eastAsia" w:ascii="Times New Roman" w:hAnsi="Times New Roman" w:eastAsia="黑体" w:cs="黑体"/>
                <w:b/>
                <w:bCs/>
                <w:i w:val="0"/>
                <w:iCs w:val="0"/>
                <w:color w:val="auto"/>
                <w:kern w:val="0"/>
                <w:sz w:val="24"/>
                <w:szCs w:val="24"/>
                <w:highlight w:val="none"/>
                <w:u w:val="none"/>
                <w:lang w:val="en-US" w:eastAsia="zh-CN" w:bidi="ar"/>
              </w:rPr>
              <w:t>中央财政</w:t>
            </w:r>
            <w:r>
              <w:rPr>
                <w:rFonts w:hint="default" w:ascii="Times New Roman" w:hAnsi="Times New Roman" w:eastAsia="黑体" w:cs="Times New Roman"/>
                <w:b/>
                <w:bCs/>
                <w:i w:val="0"/>
                <w:iCs w:val="0"/>
                <w:color w:val="auto"/>
                <w:kern w:val="0"/>
                <w:sz w:val="24"/>
                <w:szCs w:val="24"/>
                <w:highlight w:val="none"/>
                <w:u w:val="none"/>
                <w:lang w:val="en-US" w:eastAsia="zh-CN" w:bidi="ar"/>
              </w:rPr>
              <w:t>(</w:t>
            </w:r>
            <w:r>
              <w:rPr>
                <w:rFonts w:hint="eastAsia" w:ascii="Times New Roman" w:hAnsi="Times New Roman" w:eastAsia="黑体" w:cs="黑体"/>
                <w:b/>
                <w:bCs/>
                <w:i w:val="0"/>
                <w:iCs w:val="0"/>
                <w:color w:val="auto"/>
                <w:kern w:val="0"/>
                <w:sz w:val="24"/>
                <w:szCs w:val="24"/>
                <w:highlight w:val="none"/>
                <w:u w:val="none"/>
                <w:lang w:val="en-US" w:eastAsia="zh-CN" w:bidi="ar"/>
              </w:rPr>
              <w:t>万元</w:t>
            </w:r>
            <w:r>
              <w:rPr>
                <w:rFonts w:hint="default" w:ascii="Times New Roman" w:hAnsi="Times New Roman" w:eastAsia="黑体" w:cs="Times New Roman"/>
                <w:b/>
                <w:bCs/>
                <w:i w:val="0"/>
                <w:iCs w:val="0"/>
                <w:color w:val="auto"/>
                <w:kern w:val="0"/>
                <w:sz w:val="24"/>
                <w:szCs w:val="24"/>
                <w:highlight w:val="none"/>
                <w:u w:val="none"/>
                <w:lang w:val="en-US" w:eastAsia="zh-CN" w:bidi="ar"/>
              </w:rPr>
              <w:t>)</w:t>
            </w:r>
          </w:p>
        </w:tc>
        <w:tc>
          <w:tcPr>
            <w:tcW w:w="720" w:type="pct"/>
            <w:tcBorders>
              <w:top w:val="single" w:color="000000" w:sz="8" w:space="0"/>
              <w:left w:val="nil"/>
              <w:bottom w:val="single" w:color="000000" w:sz="8" w:space="0"/>
              <w:right w:val="single" w:color="000000" w:sz="8" w:space="0"/>
            </w:tcBorders>
            <w:shd w:val="clear" w:color="auto" w:fill="auto"/>
            <w:noWrap/>
            <w:vAlign w:val="center"/>
          </w:tcPr>
          <w:p w14:paraId="6A5370DA">
            <w:pPr>
              <w:keepNext w:val="0"/>
              <w:keepLines w:val="0"/>
              <w:widowControl/>
              <w:suppressLineNumbers w:val="0"/>
              <w:spacing w:line="300" w:lineRule="exact"/>
              <w:ind w:firstLine="0" w:firstLineChars="0"/>
              <w:jc w:val="center"/>
              <w:textAlignment w:val="center"/>
              <w:rPr>
                <w:rFonts w:hint="eastAsia" w:ascii="Times New Roman" w:hAnsi="Times New Roman" w:eastAsia="黑体" w:cs="黑体"/>
                <w:b/>
                <w:bCs/>
                <w:i w:val="0"/>
                <w:iCs w:val="0"/>
                <w:color w:val="auto"/>
                <w:sz w:val="24"/>
                <w:szCs w:val="24"/>
                <w:highlight w:val="none"/>
                <w:u w:val="none"/>
              </w:rPr>
            </w:pPr>
            <w:r>
              <w:rPr>
                <w:rFonts w:hint="eastAsia" w:ascii="Times New Roman" w:hAnsi="Times New Roman" w:eastAsia="黑体" w:cs="黑体"/>
                <w:b/>
                <w:bCs/>
                <w:i w:val="0"/>
                <w:iCs w:val="0"/>
                <w:color w:val="auto"/>
                <w:kern w:val="0"/>
                <w:sz w:val="24"/>
                <w:szCs w:val="24"/>
                <w:highlight w:val="none"/>
                <w:u w:val="none"/>
                <w:lang w:val="en-US" w:eastAsia="zh-CN" w:bidi="ar"/>
              </w:rPr>
              <w:t>占比（</w:t>
            </w:r>
            <w:r>
              <w:rPr>
                <w:rFonts w:hint="default" w:ascii="Times New Roman" w:hAnsi="Times New Roman" w:eastAsia="黑体" w:cs="Times New Roman"/>
                <w:b/>
                <w:bCs/>
                <w:i w:val="0"/>
                <w:iCs w:val="0"/>
                <w:color w:val="auto"/>
                <w:kern w:val="0"/>
                <w:sz w:val="24"/>
                <w:szCs w:val="24"/>
                <w:highlight w:val="none"/>
                <w:u w:val="none"/>
                <w:lang w:val="en-US" w:eastAsia="zh-CN" w:bidi="ar"/>
              </w:rPr>
              <w:t>%</w:t>
            </w:r>
            <w:r>
              <w:rPr>
                <w:rFonts w:hint="eastAsia" w:ascii="Times New Roman" w:hAnsi="Times New Roman" w:eastAsia="黑体" w:cs="黑体"/>
                <w:b/>
                <w:bCs/>
                <w:i w:val="0"/>
                <w:iCs w:val="0"/>
                <w:color w:val="auto"/>
                <w:kern w:val="0"/>
                <w:sz w:val="24"/>
                <w:szCs w:val="24"/>
                <w:highlight w:val="none"/>
                <w:u w:val="none"/>
                <w:lang w:val="en-US" w:eastAsia="zh-CN" w:bidi="ar"/>
              </w:rPr>
              <w:t>）</w:t>
            </w:r>
          </w:p>
        </w:tc>
      </w:tr>
      <w:tr w14:paraId="36FEB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857" w:type="pct"/>
            <w:gridSpan w:val="2"/>
            <w:tcBorders>
              <w:top w:val="nil"/>
              <w:left w:val="single" w:color="000000" w:sz="8" w:space="0"/>
              <w:bottom w:val="single" w:color="000000" w:sz="8" w:space="0"/>
              <w:right w:val="single" w:color="000000" w:sz="8" w:space="0"/>
            </w:tcBorders>
            <w:shd w:val="clear" w:color="auto" w:fill="auto"/>
            <w:noWrap/>
            <w:vAlign w:val="center"/>
          </w:tcPr>
          <w:p w14:paraId="46358928">
            <w:pPr>
              <w:keepNext w:val="0"/>
              <w:keepLines w:val="0"/>
              <w:widowControl/>
              <w:suppressLineNumbers w:val="0"/>
              <w:spacing w:line="300" w:lineRule="exact"/>
              <w:ind w:firstLine="0" w:firstLineChars="0"/>
              <w:jc w:val="left"/>
              <w:textAlignment w:val="center"/>
              <w:rPr>
                <w:rFonts w:hint="eastAsia" w:ascii="Times New Roman" w:hAnsi="Times New Roman" w:eastAsia="黑体" w:cs="黑体"/>
                <w:b/>
                <w:bCs/>
                <w:i w:val="0"/>
                <w:iCs w:val="0"/>
                <w:color w:val="auto"/>
                <w:sz w:val="24"/>
                <w:szCs w:val="24"/>
                <w:highlight w:val="none"/>
                <w:u w:val="none"/>
              </w:rPr>
            </w:pPr>
            <w:r>
              <w:rPr>
                <w:rFonts w:hint="eastAsia" w:ascii="Times New Roman" w:hAnsi="Times New Roman" w:eastAsia="黑体" w:cs="黑体"/>
                <w:b/>
                <w:bCs/>
                <w:i w:val="0"/>
                <w:iCs w:val="0"/>
                <w:color w:val="auto"/>
                <w:kern w:val="0"/>
                <w:sz w:val="24"/>
                <w:szCs w:val="24"/>
                <w:highlight w:val="none"/>
                <w:u w:val="none"/>
                <w:lang w:val="en-US" w:eastAsia="zh-CN" w:bidi="ar"/>
              </w:rPr>
              <w:t>一、标准化狮头鹅养殖基地建设工程</w:t>
            </w:r>
          </w:p>
        </w:tc>
        <w:tc>
          <w:tcPr>
            <w:tcW w:w="1422" w:type="pct"/>
            <w:tcBorders>
              <w:top w:val="nil"/>
              <w:left w:val="nil"/>
              <w:bottom w:val="single" w:color="000000" w:sz="8" w:space="0"/>
              <w:right w:val="single" w:color="000000" w:sz="8" w:space="0"/>
            </w:tcBorders>
            <w:shd w:val="clear" w:color="auto" w:fill="auto"/>
            <w:noWrap/>
            <w:vAlign w:val="center"/>
          </w:tcPr>
          <w:p w14:paraId="40F28E88">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highlight w:val="none"/>
                <w:u w:val="none"/>
              </w:rPr>
            </w:pPr>
            <w:r>
              <w:rPr>
                <w:rFonts w:hint="default" w:ascii="Times New Roman" w:hAnsi="Times New Roman" w:eastAsia="宋体" w:cs="Times New Roman"/>
                <w:b/>
                <w:bCs/>
                <w:i w:val="0"/>
                <w:iCs w:val="0"/>
                <w:color w:val="auto"/>
                <w:kern w:val="0"/>
                <w:sz w:val="24"/>
                <w:szCs w:val="24"/>
                <w:highlight w:val="none"/>
                <w:u w:val="none"/>
                <w:lang w:val="en-US" w:eastAsia="zh-CN" w:bidi="ar"/>
              </w:rPr>
              <w:t>2000</w:t>
            </w:r>
          </w:p>
        </w:tc>
        <w:tc>
          <w:tcPr>
            <w:tcW w:w="720" w:type="pct"/>
            <w:tcBorders>
              <w:top w:val="nil"/>
              <w:left w:val="nil"/>
              <w:bottom w:val="single" w:color="000000" w:sz="8" w:space="0"/>
              <w:right w:val="single" w:color="000000" w:sz="8" w:space="0"/>
            </w:tcBorders>
            <w:shd w:val="clear" w:color="auto" w:fill="auto"/>
            <w:noWrap/>
            <w:vAlign w:val="center"/>
          </w:tcPr>
          <w:p w14:paraId="246F4DE5">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highlight w:val="none"/>
                <w:u w:val="none"/>
              </w:rPr>
            </w:pPr>
            <w:r>
              <w:rPr>
                <w:rFonts w:hint="default" w:ascii="Times New Roman" w:hAnsi="Times New Roman" w:eastAsia="宋体" w:cs="Times New Roman"/>
                <w:b/>
                <w:bCs/>
                <w:i w:val="0"/>
                <w:iCs w:val="0"/>
                <w:color w:val="auto"/>
                <w:kern w:val="0"/>
                <w:sz w:val="24"/>
                <w:szCs w:val="24"/>
                <w:highlight w:val="none"/>
                <w:u w:val="none"/>
                <w:lang w:val="en-US" w:eastAsia="zh-CN" w:bidi="ar"/>
              </w:rPr>
              <w:t>28.58</w:t>
            </w:r>
          </w:p>
        </w:tc>
      </w:tr>
      <w:tr w14:paraId="2B726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358" w:type="pct"/>
            <w:tcBorders>
              <w:top w:val="nil"/>
              <w:left w:val="single" w:color="000000" w:sz="8" w:space="0"/>
              <w:bottom w:val="single" w:color="000000" w:sz="8" w:space="0"/>
              <w:right w:val="single" w:color="000000" w:sz="8" w:space="0"/>
            </w:tcBorders>
            <w:shd w:val="clear" w:color="auto" w:fill="auto"/>
            <w:noWrap/>
            <w:vAlign w:val="center"/>
          </w:tcPr>
          <w:p w14:paraId="3072121E">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2498" w:type="pct"/>
            <w:tcBorders>
              <w:top w:val="nil"/>
              <w:left w:val="nil"/>
              <w:bottom w:val="single" w:color="000000" w:sz="8" w:space="0"/>
              <w:right w:val="single" w:color="000000" w:sz="8" w:space="0"/>
            </w:tcBorders>
            <w:shd w:val="clear" w:color="auto" w:fill="auto"/>
            <w:noWrap/>
            <w:vAlign w:val="center"/>
          </w:tcPr>
          <w:p w14:paraId="33B29AB3">
            <w:pPr>
              <w:keepNext w:val="0"/>
              <w:keepLines w:val="0"/>
              <w:widowControl/>
              <w:suppressLineNumbers w:val="0"/>
              <w:spacing w:line="300" w:lineRule="exact"/>
              <w:ind w:firstLine="0" w:firstLineChars="0"/>
              <w:jc w:val="left"/>
              <w:textAlignment w:val="center"/>
              <w:rPr>
                <w:rFonts w:ascii="Times New Roman" w:hAnsi="Times New Roman" w:eastAsia="仿宋_GB2312" w:cs="仿宋_GB2312"/>
                <w:i w:val="0"/>
                <w:iCs w:val="0"/>
                <w:color w:val="auto"/>
                <w:sz w:val="24"/>
                <w:szCs w:val="24"/>
                <w:highlight w:val="none"/>
                <w:u w:val="none"/>
              </w:rPr>
            </w:pPr>
            <w:r>
              <w:rPr>
                <w:rFonts w:hint="eastAsia" w:ascii="Times New Roman" w:hAnsi="Times New Roman" w:eastAsia="仿宋_GB2312" w:cs="仿宋_GB2312"/>
                <w:i w:val="0"/>
                <w:iCs w:val="0"/>
                <w:color w:val="auto"/>
                <w:kern w:val="0"/>
                <w:sz w:val="24"/>
                <w:szCs w:val="24"/>
                <w:highlight w:val="none"/>
                <w:u w:val="none"/>
                <w:lang w:val="en-US" w:eastAsia="zh-CN" w:bidi="ar"/>
              </w:rPr>
              <w:t>种鹅标准化育种基地建设</w:t>
            </w:r>
          </w:p>
        </w:tc>
        <w:tc>
          <w:tcPr>
            <w:tcW w:w="1422" w:type="pct"/>
            <w:tcBorders>
              <w:top w:val="nil"/>
              <w:left w:val="nil"/>
              <w:bottom w:val="single" w:color="000000" w:sz="8" w:space="0"/>
              <w:right w:val="single" w:color="000000" w:sz="8" w:space="0"/>
            </w:tcBorders>
            <w:shd w:val="clear" w:color="auto" w:fill="auto"/>
            <w:noWrap/>
            <w:vAlign w:val="center"/>
          </w:tcPr>
          <w:p w14:paraId="152680F5">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1000</w:t>
            </w:r>
          </w:p>
        </w:tc>
        <w:tc>
          <w:tcPr>
            <w:tcW w:w="720" w:type="pct"/>
            <w:tcBorders>
              <w:top w:val="single" w:color="000000" w:sz="8" w:space="0"/>
              <w:left w:val="nil"/>
              <w:bottom w:val="single" w:color="000000" w:sz="8" w:space="0"/>
              <w:right w:val="single" w:color="000000" w:sz="8" w:space="0"/>
            </w:tcBorders>
            <w:shd w:val="clear" w:color="auto" w:fill="auto"/>
            <w:noWrap/>
            <w:vAlign w:val="center"/>
          </w:tcPr>
          <w:p w14:paraId="2DE783DF">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14.29</w:t>
            </w:r>
          </w:p>
        </w:tc>
      </w:tr>
      <w:tr w14:paraId="28A5D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358" w:type="pct"/>
            <w:tcBorders>
              <w:top w:val="nil"/>
              <w:left w:val="single" w:color="000000" w:sz="8" w:space="0"/>
              <w:bottom w:val="single" w:color="000000" w:sz="8" w:space="0"/>
              <w:right w:val="single" w:color="000000" w:sz="8" w:space="0"/>
            </w:tcBorders>
            <w:shd w:val="clear" w:color="auto" w:fill="auto"/>
            <w:noWrap/>
            <w:vAlign w:val="center"/>
          </w:tcPr>
          <w:p w14:paraId="7A9FC443">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w:t>
            </w:r>
          </w:p>
        </w:tc>
        <w:tc>
          <w:tcPr>
            <w:tcW w:w="2498" w:type="pct"/>
            <w:tcBorders>
              <w:top w:val="nil"/>
              <w:left w:val="nil"/>
              <w:bottom w:val="single" w:color="000000" w:sz="8" w:space="0"/>
              <w:right w:val="single" w:color="000000" w:sz="8" w:space="0"/>
            </w:tcBorders>
            <w:shd w:val="clear" w:color="auto" w:fill="auto"/>
            <w:noWrap/>
            <w:vAlign w:val="center"/>
          </w:tcPr>
          <w:p w14:paraId="3FC11FC6">
            <w:pPr>
              <w:keepNext w:val="0"/>
              <w:keepLines w:val="0"/>
              <w:widowControl/>
              <w:suppressLineNumbers w:val="0"/>
              <w:spacing w:line="300" w:lineRule="exact"/>
              <w:ind w:firstLine="0" w:firstLineChars="0"/>
              <w:jc w:val="left"/>
              <w:textAlignment w:val="center"/>
              <w:rPr>
                <w:rFonts w:hint="eastAsia" w:ascii="Times New Roman" w:hAnsi="Times New Roman" w:eastAsia="仿宋_GB2312" w:cs="仿宋_GB2312"/>
                <w:i w:val="0"/>
                <w:iCs w:val="0"/>
                <w:color w:val="auto"/>
                <w:sz w:val="24"/>
                <w:szCs w:val="24"/>
                <w:highlight w:val="none"/>
                <w:u w:val="none"/>
              </w:rPr>
            </w:pPr>
            <w:r>
              <w:rPr>
                <w:rFonts w:hint="eastAsia" w:ascii="Times New Roman" w:hAnsi="Times New Roman" w:eastAsia="仿宋_GB2312" w:cs="仿宋_GB2312"/>
                <w:i w:val="0"/>
                <w:iCs w:val="0"/>
                <w:color w:val="auto"/>
                <w:kern w:val="0"/>
                <w:sz w:val="24"/>
                <w:szCs w:val="24"/>
                <w:highlight w:val="none"/>
                <w:u w:val="none"/>
                <w:lang w:val="en-US" w:eastAsia="zh-CN" w:bidi="ar"/>
              </w:rPr>
              <w:t>肉鹅标准化养殖基地建设</w:t>
            </w:r>
          </w:p>
        </w:tc>
        <w:tc>
          <w:tcPr>
            <w:tcW w:w="1422" w:type="pct"/>
            <w:tcBorders>
              <w:top w:val="nil"/>
              <w:left w:val="nil"/>
              <w:bottom w:val="single" w:color="000000" w:sz="8" w:space="0"/>
              <w:right w:val="single" w:color="000000" w:sz="8" w:space="0"/>
            </w:tcBorders>
            <w:shd w:val="clear" w:color="auto" w:fill="auto"/>
            <w:noWrap/>
            <w:vAlign w:val="center"/>
          </w:tcPr>
          <w:p w14:paraId="27946A45">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1000</w:t>
            </w:r>
          </w:p>
        </w:tc>
        <w:tc>
          <w:tcPr>
            <w:tcW w:w="720" w:type="pct"/>
            <w:tcBorders>
              <w:top w:val="nil"/>
              <w:left w:val="nil"/>
              <w:bottom w:val="single" w:color="000000" w:sz="8" w:space="0"/>
              <w:right w:val="single" w:color="000000" w:sz="8" w:space="0"/>
            </w:tcBorders>
            <w:shd w:val="clear" w:color="auto" w:fill="auto"/>
            <w:noWrap/>
            <w:vAlign w:val="center"/>
          </w:tcPr>
          <w:p w14:paraId="3C5D9159">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14.29</w:t>
            </w:r>
          </w:p>
        </w:tc>
      </w:tr>
      <w:tr w14:paraId="57F66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857" w:type="pct"/>
            <w:gridSpan w:val="2"/>
            <w:tcBorders>
              <w:top w:val="nil"/>
              <w:left w:val="single" w:color="000000" w:sz="8" w:space="0"/>
              <w:bottom w:val="single" w:color="000000" w:sz="8" w:space="0"/>
              <w:right w:val="single" w:color="000000" w:sz="8" w:space="0"/>
            </w:tcBorders>
            <w:shd w:val="clear" w:color="auto" w:fill="auto"/>
            <w:noWrap/>
            <w:vAlign w:val="center"/>
          </w:tcPr>
          <w:p w14:paraId="0F933562">
            <w:pPr>
              <w:keepNext w:val="0"/>
              <w:keepLines w:val="0"/>
              <w:widowControl/>
              <w:suppressLineNumbers w:val="0"/>
              <w:spacing w:line="300" w:lineRule="exact"/>
              <w:ind w:firstLine="0" w:firstLineChars="0"/>
              <w:jc w:val="left"/>
              <w:textAlignment w:val="center"/>
              <w:rPr>
                <w:rFonts w:hint="eastAsia" w:ascii="Times New Roman" w:hAnsi="Times New Roman" w:eastAsia="黑体" w:cs="黑体"/>
                <w:b/>
                <w:bCs/>
                <w:i w:val="0"/>
                <w:iCs w:val="0"/>
                <w:color w:val="auto"/>
                <w:sz w:val="24"/>
                <w:szCs w:val="24"/>
                <w:highlight w:val="none"/>
                <w:u w:val="none"/>
              </w:rPr>
            </w:pPr>
            <w:r>
              <w:rPr>
                <w:rFonts w:hint="eastAsia" w:ascii="Times New Roman" w:hAnsi="Times New Roman" w:eastAsia="黑体" w:cs="黑体"/>
                <w:b/>
                <w:bCs/>
                <w:i w:val="0"/>
                <w:iCs w:val="0"/>
                <w:color w:val="auto"/>
                <w:kern w:val="0"/>
                <w:sz w:val="24"/>
                <w:szCs w:val="24"/>
                <w:highlight w:val="none"/>
                <w:u w:val="none"/>
                <w:lang w:val="en-US" w:eastAsia="zh-CN" w:bidi="ar"/>
              </w:rPr>
              <w:t>二、狮头鹅加工冷链提升工程</w:t>
            </w:r>
          </w:p>
        </w:tc>
        <w:tc>
          <w:tcPr>
            <w:tcW w:w="1422" w:type="pct"/>
            <w:tcBorders>
              <w:top w:val="nil"/>
              <w:left w:val="nil"/>
              <w:bottom w:val="single" w:color="000000" w:sz="8" w:space="0"/>
              <w:right w:val="single" w:color="000000" w:sz="8" w:space="0"/>
            </w:tcBorders>
            <w:shd w:val="clear" w:color="auto" w:fill="auto"/>
            <w:noWrap/>
            <w:vAlign w:val="center"/>
          </w:tcPr>
          <w:p w14:paraId="23672EAB">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highlight w:val="none"/>
                <w:u w:val="none"/>
              </w:rPr>
            </w:pPr>
            <w:r>
              <w:rPr>
                <w:rFonts w:hint="default" w:ascii="Times New Roman" w:hAnsi="Times New Roman" w:eastAsia="宋体" w:cs="Times New Roman"/>
                <w:b/>
                <w:bCs/>
                <w:i w:val="0"/>
                <w:iCs w:val="0"/>
                <w:color w:val="auto"/>
                <w:kern w:val="0"/>
                <w:sz w:val="24"/>
                <w:szCs w:val="24"/>
                <w:highlight w:val="none"/>
                <w:u w:val="none"/>
                <w:lang w:val="en-US" w:eastAsia="zh-CN" w:bidi="ar"/>
              </w:rPr>
              <w:t>3760</w:t>
            </w:r>
          </w:p>
        </w:tc>
        <w:tc>
          <w:tcPr>
            <w:tcW w:w="720" w:type="pct"/>
            <w:tcBorders>
              <w:top w:val="nil"/>
              <w:left w:val="nil"/>
              <w:bottom w:val="single" w:color="000000" w:sz="8" w:space="0"/>
              <w:right w:val="single" w:color="000000" w:sz="8" w:space="0"/>
            </w:tcBorders>
            <w:shd w:val="clear" w:color="auto" w:fill="auto"/>
            <w:noWrap/>
            <w:vAlign w:val="center"/>
          </w:tcPr>
          <w:p w14:paraId="2B09A236">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highlight w:val="none"/>
                <w:u w:val="none"/>
              </w:rPr>
            </w:pPr>
            <w:r>
              <w:rPr>
                <w:rFonts w:hint="default" w:ascii="Times New Roman" w:hAnsi="Times New Roman" w:eastAsia="宋体" w:cs="Times New Roman"/>
                <w:b/>
                <w:bCs/>
                <w:i w:val="0"/>
                <w:iCs w:val="0"/>
                <w:color w:val="auto"/>
                <w:kern w:val="0"/>
                <w:sz w:val="24"/>
                <w:szCs w:val="24"/>
                <w:highlight w:val="none"/>
                <w:u w:val="none"/>
                <w:lang w:val="en-US" w:eastAsia="zh-CN" w:bidi="ar"/>
              </w:rPr>
              <w:t>53.71</w:t>
            </w:r>
          </w:p>
        </w:tc>
      </w:tr>
      <w:tr w14:paraId="58938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358" w:type="pct"/>
            <w:tcBorders>
              <w:top w:val="nil"/>
              <w:left w:val="single" w:color="000000" w:sz="8" w:space="0"/>
              <w:bottom w:val="single" w:color="000000" w:sz="8" w:space="0"/>
              <w:right w:val="single" w:color="000000" w:sz="8" w:space="0"/>
            </w:tcBorders>
            <w:shd w:val="clear" w:color="auto" w:fill="auto"/>
            <w:noWrap/>
            <w:vAlign w:val="center"/>
          </w:tcPr>
          <w:p w14:paraId="0F2C99A6">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eastAsia" w:ascii="Times New Roman" w:hAnsi="Times New Roman" w:eastAsia="宋体" w:cs="Times New Roman"/>
                <w:i w:val="0"/>
                <w:iCs w:val="0"/>
                <w:color w:val="auto"/>
                <w:kern w:val="0"/>
                <w:sz w:val="24"/>
                <w:szCs w:val="24"/>
                <w:highlight w:val="none"/>
                <w:u w:val="none"/>
                <w:lang w:val="en-US" w:eastAsia="zh-CN" w:bidi="ar"/>
              </w:rPr>
              <w:t>3</w:t>
            </w:r>
          </w:p>
        </w:tc>
        <w:tc>
          <w:tcPr>
            <w:tcW w:w="2498" w:type="pct"/>
            <w:tcBorders>
              <w:top w:val="nil"/>
              <w:left w:val="nil"/>
              <w:bottom w:val="single" w:color="000000" w:sz="8" w:space="0"/>
              <w:right w:val="single" w:color="000000" w:sz="8" w:space="0"/>
            </w:tcBorders>
            <w:shd w:val="clear" w:color="auto" w:fill="auto"/>
            <w:noWrap/>
            <w:vAlign w:val="center"/>
          </w:tcPr>
          <w:p w14:paraId="6F6D5FB8">
            <w:pPr>
              <w:keepNext w:val="0"/>
              <w:keepLines w:val="0"/>
              <w:widowControl/>
              <w:suppressLineNumbers w:val="0"/>
              <w:spacing w:line="300" w:lineRule="exact"/>
              <w:ind w:firstLine="0" w:firstLineChars="0"/>
              <w:jc w:val="left"/>
              <w:textAlignment w:val="center"/>
              <w:rPr>
                <w:rFonts w:hint="eastAsia" w:ascii="Times New Roman" w:hAnsi="Times New Roman" w:eastAsia="仿宋_GB2312" w:cs="仿宋_GB2312"/>
                <w:i w:val="0"/>
                <w:iCs w:val="0"/>
                <w:color w:val="auto"/>
                <w:sz w:val="24"/>
                <w:szCs w:val="24"/>
                <w:highlight w:val="none"/>
                <w:u w:val="none"/>
              </w:rPr>
            </w:pPr>
            <w:r>
              <w:rPr>
                <w:rFonts w:hint="eastAsia" w:ascii="Times New Roman" w:hAnsi="Times New Roman" w:cs="仿宋_GB2312"/>
                <w:i w:val="0"/>
                <w:iCs w:val="0"/>
                <w:color w:val="auto"/>
                <w:kern w:val="0"/>
                <w:sz w:val="24"/>
                <w:szCs w:val="24"/>
                <w:highlight w:val="none"/>
                <w:u w:val="none"/>
                <w:lang w:val="en-US" w:eastAsia="zh-CN" w:bidi="ar"/>
              </w:rPr>
              <w:t>生产加工基地建设项目</w:t>
            </w:r>
          </w:p>
        </w:tc>
        <w:tc>
          <w:tcPr>
            <w:tcW w:w="1422" w:type="pct"/>
            <w:tcBorders>
              <w:top w:val="nil"/>
              <w:left w:val="nil"/>
              <w:bottom w:val="single" w:color="000000" w:sz="8" w:space="0"/>
              <w:right w:val="single" w:color="000000" w:sz="8" w:space="0"/>
            </w:tcBorders>
            <w:shd w:val="clear" w:color="auto" w:fill="auto"/>
            <w:noWrap/>
            <w:vAlign w:val="center"/>
          </w:tcPr>
          <w:p w14:paraId="2DDD2532">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3760</w:t>
            </w:r>
          </w:p>
        </w:tc>
        <w:tc>
          <w:tcPr>
            <w:tcW w:w="720" w:type="pct"/>
            <w:tcBorders>
              <w:top w:val="single" w:color="000000" w:sz="8" w:space="0"/>
              <w:left w:val="nil"/>
              <w:bottom w:val="single" w:color="000000" w:sz="8" w:space="0"/>
              <w:right w:val="single" w:color="000000" w:sz="8" w:space="0"/>
            </w:tcBorders>
            <w:shd w:val="clear" w:color="auto" w:fill="auto"/>
            <w:noWrap/>
            <w:vAlign w:val="center"/>
          </w:tcPr>
          <w:p w14:paraId="47D7F4AE">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53.71</w:t>
            </w:r>
          </w:p>
        </w:tc>
      </w:tr>
      <w:tr w14:paraId="488D7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857" w:type="pct"/>
            <w:gridSpan w:val="2"/>
            <w:tcBorders>
              <w:top w:val="nil"/>
              <w:left w:val="single" w:color="000000" w:sz="8" w:space="0"/>
              <w:bottom w:val="single" w:color="000000" w:sz="8" w:space="0"/>
              <w:right w:val="single" w:color="000000" w:sz="8" w:space="0"/>
            </w:tcBorders>
            <w:shd w:val="clear" w:color="auto" w:fill="auto"/>
            <w:noWrap/>
            <w:vAlign w:val="center"/>
          </w:tcPr>
          <w:p w14:paraId="7C30E384">
            <w:pPr>
              <w:keepNext w:val="0"/>
              <w:keepLines w:val="0"/>
              <w:widowControl/>
              <w:suppressLineNumbers w:val="0"/>
              <w:spacing w:line="300" w:lineRule="exact"/>
              <w:ind w:firstLine="0" w:firstLineChars="0"/>
              <w:jc w:val="left"/>
              <w:textAlignment w:val="center"/>
              <w:rPr>
                <w:rFonts w:hint="eastAsia" w:ascii="Times New Roman" w:hAnsi="Times New Roman" w:eastAsia="黑体" w:cs="黑体"/>
                <w:b/>
                <w:bCs/>
                <w:i w:val="0"/>
                <w:iCs w:val="0"/>
                <w:color w:val="auto"/>
                <w:sz w:val="24"/>
                <w:szCs w:val="24"/>
                <w:highlight w:val="none"/>
                <w:u w:val="none"/>
              </w:rPr>
            </w:pPr>
            <w:r>
              <w:rPr>
                <w:rFonts w:hint="eastAsia" w:ascii="Times New Roman" w:hAnsi="Times New Roman" w:eastAsia="黑体" w:cs="黑体"/>
                <w:b/>
                <w:bCs/>
                <w:i w:val="0"/>
                <w:iCs w:val="0"/>
                <w:color w:val="auto"/>
                <w:kern w:val="0"/>
                <w:sz w:val="24"/>
                <w:szCs w:val="24"/>
                <w:highlight w:val="none"/>
                <w:u w:val="none"/>
                <w:lang w:val="en-US" w:eastAsia="zh-CN" w:bidi="ar"/>
              </w:rPr>
              <w:t>三、狮头鹅产业服务提升工程</w:t>
            </w:r>
          </w:p>
        </w:tc>
        <w:tc>
          <w:tcPr>
            <w:tcW w:w="1422" w:type="pct"/>
            <w:tcBorders>
              <w:top w:val="nil"/>
              <w:left w:val="nil"/>
              <w:bottom w:val="single" w:color="000000" w:sz="8" w:space="0"/>
              <w:right w:val="single" w:color="000000" w:sz="8" w:space="0"/>
            </w:tcBorders>
            <w:shd w:val="clear" w:color="auto" w:fill="auto"/>
            <w:noWrap/>
            <w:vAlign w:val="center"/>
          </w:tcPr>
          <w:p w14:paraId="00815EFF">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highlight w:val="none"/>
                <w:u w:val="none"/>
              </w:rPr>
            </w:pPr>
            <w:r>
              <w:rPr>
                <w:rFonts w:hint="default" w:ascii="Times New Roman" w:hAnsi="Times New Roman" w:eastAsia="宋体" w:cs="Times New Roman"/>
                <w:b/>
                <w:bCs/>
                <w:i w:val="0"/>
                <w:iCs w:val="0"/>
                <w:color w:val="auto"/>
                <w:kern w:val="0"/>
                <w:sz w:val="24"/>
                <w:szCs w:val="24"/>
                <w:highlight w:val="none"/>
                <w:u w:val="none"/>
                <w:lang w:val="en-US" w:eastAsia="zh-CN" w:bidi="ar"/>
              </w:rPr>
              <w:t>1240</w:t>
            </w:r>
          </w:p>
        </w:tc>
        <w:tc>
          <w:tcPr>
            <w:tcW w:w="720" w:type="pct"/>
            <w:tcBorders>
              <w:top w:val="nil"/>
              <w:left w:val="nil"/>
              <w:bottom w:val="single" w:color="000000" w:sz="8" w:space="0"/>
              <w:right w:val="single" w:color="000000" w:sz="8" w:space="0"/>
            </w:tcBorders>
            <w:shd w:val="clear" w:color="auto" w:fill="auto"/>
            <w:noWrap/>
            <w:vAlign w:val="center"/>
          </w:tcPr>
          <w:p w14:paraId="5B3C87A6">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highlight w:val="none"/>
                <w:u w:val="none"/>
              </w:rPr>
            </w:pPr>
            <w:r>
              <w:rPr>
                <w:rFonts w:hint="default" w:ascii="Times New Roman" w:hAnsi="Times New Roman" w:eastAsia="宋体" w:cs="Times New Roman"/>
                <w:b/>
                <w:bCs/>
                <w:i w:val="0"/>
                <w:iCs w:val="0"/>
                <w:color w:val="auto"/>
                <w:kern w:val="0"/>
                <w:sz w:val="24"/>
                <w:szCs w:val="24"/>
                <w:highlight w:val="none"/>
                <w:u w:val="none"/>
                <w:lang w:val="en-US" w:eastAsia="zh-CN" w:bidi="ar"/>
              </w:rPr>
              <w:t>17.71</w:t>
            </w:r>
          </w:p>
        </w:tc>
      </w:tr>
      <w:tr w14:paraId="26E02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358" w:type="pct"/>
            <w:tcBorders>
              <w:top w:val="nil"/>
              <w:left w:val="single" w:color="000000" w:sz="8" w:space="0"/>
              <w:bottom w:val="single" w:color="000000" w:sz="8" w:space="0"/>
              <w:right w:val="single" w:color="000000" w:sz="8" w:space="0"/>
            </w:tcBorders>
            <w:shd w:val="clear" w:color="auto" w:fill="auto"/>
            <w:noWrap/>
            <w:vAlign w:val="center"/>
          </w:tcPr>
          <w:p w14:paraId="2B28C686">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eastAsia" w:ascii="Times New Roman" w:hAnsi="Times New Roman" w:eastAsia="宋体" w:cs="Times New Roman"/>
                <w:i w:val="0"/>
                <w:iCs w:val="0"/>
                <w:color w:val="auto"/>
                <w:kern w:val="0"/>
                <w:sz w:val="24"/>
                <w:szCs w:val="24"/>
                <w:highlight w:val="none"/>
                <w:u w:val="none"/>
                <w:lang w:val="en-US" w:eastAsia="zh-CN" w:bidi="ar"/>
              </w:rPr>
              <w:t>4</w:t>
            </w:r>
          </w:p>
        </w:tc>
        <w:tc>
          <w:tcPr>
            <w:tcW w:w="2498" w:type="pct"/>
            <w:tcBorders>
              <w:top w:val="nil"/>
              <w:left w:val="nil"/>
              <w:bottom w:val="single" w:color="000000" w:sz="8" w:space="0"/>
              <w:right w:val="single" w:color="000000" w:sz="8" w:space="0"/>
            </w:tcBorders>
            <w:shd w:val="clear" w:color="auto" w:fill="auto"/>
            <w:noWrap/>
            <w:vAlign w:val="center"/>
          </w:tcPr>
          <w:p w14:paraId="777AB861">
            <w:pPr>
              <w:keepNext w:val="0"/>
              <w:keepLines w:val="0"/>
              <w:widowControl/>
              <w:suppressLineNumbers w:val="0"/>
              <w:spacing w:line="300" w:lineRule="exact"/>
              <w:ind w:firstLine="0" w:firstLineChars="0"/>
              <w:jc w:val="left"/>
              <w:textAlignment w:val="center"/>
              <w:rPr>
                <w:rFonts w:hint="eastAsia" w:ascii="Times New Roman" w:hAnsi="Times New Roman" w:eastAsia="仿宋_GB2312" w:cs="仿宋_GB2312"/>
                <w:i w:val="0"/>
                <w:iCs w:val="0"/>
                <w:color w:val="auto"/>
                <w:sz w:val="24"/>
                <w:szCs w:val="24"/>
                <w:highlight w:val="none"/>
                <w:u w:val="none"/>
              </w:rPr>
            </w:pPr>
            <w:r>
              <w:rPr>
                <w:rFonts w:hint="eastAsia" w:ascii="Times New Roman" w:hAnsi="Times New Roman" w:eastAsia="仿宋_GB2312" w:cs="仿宋_GB2312"/>
                <w:i w:val="0"/>
                <w:iCs w:val="0"/>
                <w:color w:val="auto"/>
                <w:kern w:val="0"/>
                <w:sz w:val="24"/>
                <w:szCs w:val="24"/>
                <w:highlight w:val="none"/>
                <w:u w:val="none"/>
                <w:lang w:val="en-US" w:eastAsia="zh-CN" w:bidi="ar"/>
              </w:rPr>
              <w:t>狮头鹅原种保护和培育建设项目</w:t>
            </w:r>
          </w:p>
        </w:tc>
        <w:tc>
          <w:tcPr>
            <w:tcW w:w="1422" w:type="pct"/>
            <w:tcBorders>
              <w:top w:val="nil"/>
              <w:left w:val="nil"/>
              <w:bottom w:val="single" w:color="000000" w:sz="8" w:space="0"/>
              <w:right w:val="single" w:color="000000" w:sz="8" w:space="0"/>
            </w:tcBorders>
            <w:shd w:val="clear" w:color="auto" w:fill="auto"/>
            <w:noWrap/>
            <w:vAlign w:val="center"/>
          </w:tcPr>
          <w:p w14:paraId="180E5576">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680</w:t>
            </w:r>
          </w:p>
        </w:tc>
        <w:tc>
          <w:tcPr>
            <w:tcW w:w="720" w:type="pct"/>
            <w:tcBorders>
              <w:top w:val="single" w:color="000000" w:sz="8" w:space="0"/>
              <w:left w:val="nil"/>
              <w:bottom w:val="single" w:color="000000" w:sz="8" w:space="0"/>
              <w:right w:val="single" w:color="000000" w:sz="8" w:space="0"/>
            </w:tcBorders>
            <w:shd w:val="clear" w:color="auto" w:fill="auto"/>
            <w:noWrap/>
            <w:vAlign w:val="center"/>
          </w:tcPr>
          <w:p w14:paraId="4681FCC6">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9.71</w:t>
            </w:r>
          </w:p>
        </w:tc>
      </w:tr>
      <w:tr w14:paraId="22989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358" w:type="pct"/>
            <w:tcBorders>
              <w:top w:val="nil"/>
              <w:left w:val="single" w:color="000000" w:sz="8" w:space="0"/>
              <w:bottom w:val="single" w:color="000000" w:sz="8" w:space="0"/>
              <w:right w:val="single" w:color="000000" w:sz="8" w:space="0"/>
            </w:tcBorders>
            <w:shd w:val="clear" w:color="auto" w:fill="auto"/>
            <w:noWrap/>
            <w:vAlign w:val="center"/>
          </w:tcPr>
          <w:p w14:paraId="5235A431">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eastAsia" w:ascii="Times New Roman" w:hAnsi="Times New Roman" w:eastAsia="宋体" w:cs="Times New Roman"/>
                <w:i w:val="0"/>
                <w:iCs w:val="0"/>
                <w:color w:val="auto"/>
                <w:kern w:val="0"/>
                <w:sz w:val="24"/>
                <w:szCs w:val="24"/>
                <w:highlight w:val="none"/>
                <w:u w:val="none"/>
                <w:lang w:val="en-US" w:eastAsia="zh-CN" w:bidi="ar"/>
              </w:rPr>
              <w:t>5</w:t>
            </w:r>
          </w:p>
        </w:tc>
        <w:tc>
          <w:tcPr>
            <w:tcW w:w="2498" w:type="pct"/>
            <w:tcBorders>
              <w:top w:val="nil"/>
              <w:left w:val="nil"/>
              <w:bottom w:val="single" w:color="000000" w:sz="8" w:space="0"/>
              <w:right w:val="single" w:color="000000" w:sz="8" w:space="0"/>
            </w:tcBorders>
            <w:shd w:val="clear" w:color="auto" w:fill="auto"/>
            <w:noWrap/>
            <w:vAlign w:val="center"/>
          </w:tcPr>
          <w:p w14:paraId="2213A66B">
            <w:pPr>
              <w:keepNext w:val="0"/>
              <w:keepLines w:val="0"/>
              <w:widowControl/>
              <w:suppressLineNumbers w:val="0"/>
              <w:spacing w:line="300" w:lineRule="exact"/>
              <w:ind w:firstLine="0" w:firstLineChars="0"/>
              <w:jc w:val="left"/>
              <w:textAlignment w:val="center"/>
              <w:rPr>
                <w:rFonts w:hint="eastAsia" w:ascii="Times New Roman" w:hAnsi="Times New Roman" w:eastAsia="仿宋_GB2312" w:cs="仿宋_GB2312"/>
                <w:i w:val="0"/>
                <w:iCs w:val="0"/>
                <w:color w:val="auto"/>
                <w:sz w:val="24"/>
                <w:szCs w:val="24"/>
                <w:highlight w:val="none"/>
                <w:u w:val="none"/>
              </w:rPr>
            </w:pPr>
            <w:r>
              <w:rPr>
                <w:rFonts w:hint="eastAsia" w:ascii="Times New Roman" w:hAnsi="Times New Roman" w:eastAsia="仿宋_GB2312" w:cs="仿宋_GB2312"/>
                <w:i w:val="0"/>
                <w:iCs w:val="0"/>
                <w:color w:val="auto"/>
                <w:kern w:val="0"/>
                <w:sz w:val="24"/>
                <w:szCs w:val="24"/>
                <w:highlight w:val="none"/>
                <w:u w:val="none"/>
                <w:lang w:val="en-US" w:eastAsia="zh-CN" w:bidi="ar"/>
              </w:rPr>
              <w:t>澄海狮头鹅全产业链标准体系与区域品牌提升建设项目</w:t>
            </w:r>
          </w:p>
        </w:tc>
        <w:tc>
          <w:tcPr>
            <w:tcW w:w="1422" w:type="pct"/>
            <w:tcBorders>
              <w:top w:val="nil"/>
              <w:left w:val="nil"/>
              <w:bottom w:val="single" w:color="000000" w:sz="8" w:space="0"/>
              <w:right w:val="single" w:color="000000" w:sz="8" w:space="0"/>
            </w:tcBorders>
            <w:shd w:val="clear" w:color="auto" w:fill="auto"/>
            <w:noWrap/>
            <w:vAlign w:val="center"/>
          </w:tcPr>
          <w:p w14:paraId="49847523">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560</w:t>
            </w:r>
          </w:p>
        </w:tc>
        <w:tc>
          <w:tcPr>
            <w:tcW w:w="720" w:type="pct"/>
            <w:tcBorders>
              <w:top w:val="nil"/>
              <w:left w:val="nil"/>
              <w:bottom w:val="single" w:color="000000" w:sz="8" w:space="0"/>
              <w:right w:val="single" w:color="000000" w:sz="8" w:space="0"/>
            </w:tcBorders>
            <w:shd w:val="clear" w:color="auto" w:fill="auto"/>
            <w:noWrap/>
            <w:vAlign w:val="center"/>
          </w:tcPr>
          <w:p w14:paraId="27912393">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8</w:t>
            </w:r>
          </w:p>
        </w:tc>
      </w:tr>
      <w:tr w14:paraId="03027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857" w:type="pct"/>
            <w:gridSpan w:val="2"/>
            <w:tcBorders>
              <w:top w:val="nil"/>
              <w:left w:val="single" w:color="000000" w:sz="8" w:space="0"/>
              <w:bottom w:val="single" w:color="000000" w:sz="8" w:space="0"/>
              <w:right w:val="single" w:color="000000" w:sz="8" w:space="0"/>
            </w:tcBorders>
            <w:shd w:val="clear" w:color="auto" w:fill="auto"/>
            <w:noWrap/>
            <w:vAlign w:val="center"/>
          </w:tcPr>
          <w:p w14:paraId="3F61D1AA">
            <w:pPr>
              <w:keepNext w:val="0"/>
              <w:keepLines w:val="0"/>
              <w:widowControl/>
              <w:suppressLineNumbers w:val="0"/>
              <w:spacing w:line="300" w:lineRule="exact"/>
              <w:ind w:firstLine="0" w:firstLineChars="0"/>
              <w:jc w:val="center"/>
              <w:textAlignment w:val="center"/>
              <w:rPr>
                <w:rFonts w:hint="eastAsia" w:ascii="Times New Roman" w:hAnsi="Times New Roman" w:eastAsia="黑体" w:cs="黑体"/>
                <w:b/>
                <w:bCs/>
                <w:i w:val="0"/>
                <w:iCs w:val="0"/>
                <w:color w:val="auto"/>
                <w:sz w:val="24"/>
                <w:szCs w:val="24"/>
                <w:highlight w:val="none"/>
                <w:u w:val="none"/>
              </w:rPr>
            </w:pPr>
            <w:r>
              <w:rPr>
                <w:rFonts w:hint="eastAsia" w:ascii="Times New Roman" w:hAnsi="Times New Roman" w:eastAsia="黑体" w:cs="黑体"/>
                <w:b/>
                <w:bCs/>
                <w:i w:val="0"/>
                <w:iCs w:val="0"/>
                <w:color w:val="auto"/>
                <w:kern w:val="0"/>
                <w:sz w:val="24"/>
                <w:szCs w:val="24"/>
                <w:highlight w:val="none"/>
                <w:u w:val="none"/>
                <w:lang w:val="en-US" w:eastAsia="zh-CN" w:bidi="ar"/>
              </w:rPr>
              <w:t>合计</w:t>
            </w:r>
          </w:p>
        </w:tc>
        <w:tc>
          <w:tcPr>
            <w:tcW w:w="1422" w:type="pct"/>
            <w:tcBorders>
              <w:top w:val="nil"/>
              <w:left w:val="nil"/>
              <w:bottom w:val="single" w:color="000000" w:sz="8" w:space="0"/>
              <w:right w:val="single" w:color="000000" w:sz="8" w:space="0"/>
            </w:tcBorders>
            <w:shd w:val="clear" w:color="auto" w:fill="auto"/>
            <w:noWrap/>
            <w:vAlign w:val="center"/>
          </w:tcPr>
          <w:p w14:paraId="15BCF80E">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highlight w:val="none"/>
                <w:u w:val="none"/>
              </w:rPr>
            </w:pPr>
            <w:r>
              <w:rPr>
                <w:rFonts w:hint="default" w:ascii="Times New Roman" w:hAnsi="Times New Roman" w:eastAsia="宋体" w:cs="Times New Roman"/>
                <w:b/>
                <w:bCs/>
                <w:i w:val="0"/>
                <w:iCs w:val="0"/>
                <w:color w:val="auto"/>
                <w:kern w:val="0"/>
                <w:sz w:val="24"/>
                <w:szCs w:val="24"/>
                <w:highlight w:val="none"/>
                <w:u w:val="none"/>
                <w:lang w:val="en-US" w:eastAsia="zh-CN" w:bidi="ar"/>
              </w:rPr>
              <w:t>7000</w:t>
            </w:r>
          </w:p>
        </w:tc>
        <w:tc>
          <w:tcPr>
            <w:tcW w:w="720" w:type="pct"/>
            <w:tcBorders>
              <w:top w:val="nil"/>
              <w:left w:val="nil"/>
              <w:bottom w:val="single" w:color="000000" w:sz="8" w:space="0"/>
              <w:right w:val="single" w:color="000000" w:sz="8" w:space="0"/>
            </w:tcBorders>
            <w:shd w:val="clear" w:color="auto" w:fill="auto"/>
            <w:noWrap/>
            <w:vAlign w:val="center"/>
          </w:tcPr>
          <w:p w14:paraId="3AC3B9E7">
            <w:pPr>
              <w:keepNext w:val="0"/>
              <w:keepLines w:val="0"/>
              <w:widowControl/>
              <w:suppressLineNumbers w:val="0"/>
              <w:spacing w:line="300" w:lineRule="exact"/>
              <w:ind w:firstLine="0" w:firstLineChars="0"/>
              <w:jc w:val="center"/>
              <w:textAlignment w:val="center"/>
              <w:rPr>
                <w:rFonts w:hint="default" w:ascii="Times New Roman" w:hAnsi="Times New Roman" w:eastAsia="宋体" w:cs="Times New Roman"/>
                <w:b/>
                <w:bCs/>
                <w:i w:val="0"/>
                <w:iCs w:val="0"/>
                <w:color w:val="auto"/>
                <w:sz w:val="24"/>
                <w:szCs w:val="24"/>
                <w:highlight w:val="none"/>
                <w:u w:val="none"/>
              </w:rPr>
            </w:pPr>
            <w:r>
              <w:rPr>
                <w:rFonts w:hint="default" w:ascii="Times New Roman" w:hAnsi="Times New Roman" w:eastAsia="宋体" w:cs="Times New Roman"/>
                <w:b/>
                <w:bCs/>
                <w:i w:val="0"/>
                <w:iCs w:val="0"/>
                <w:color w:val="auto"/>
                <w:kern w:val="0"/>
                <w:sz w:val="24"/>
                <w:szCs w:val="24"/>
                <w:highlight w:val="none"/>
                <w:u w:val="none"/>
                <w:lang w:val="en-US" w:eastAsia="zh-CN" w:bidi="ar"/>
              </w:rPr>
              <w:t>100</w:t>
            </w:r>
          </w:p>
        </w:tc>
      </w:tr>
    </w:tbl>
    <w:p w14:paraId="2F865743">
      <w:pPr>
        <w:ind w:firstLine="0" w:firstLineChars="0"/>
        <w:rPr>
          <w:rFonts w:hint="default" w:ascii="Times New Roman" w:hAnsi="Times New Roman"/>
          <w:color w:val="auto"/>
          <w:highlight w:val="none"/>
        </w:rPr>
      </w:pPr>
    </w:p>
    <w:p w14:paraId="6969AAC7">
      <w:pPr>
        <w:pageBreakBefore w:val="0"/>
        <w:kinsoku/>
        <w:overflowPunct/>
        <w:topLinePunct w:val="0"/>
        <w:autoSpaceDE/>
        <w:autoSpaceDN/>
        <w:bidi w:val="0"/>
        <w:adjustRightInd/>
        <w:snapToGrid/>
        <w:spacing w:line="590" w:lineRule="exact"/>
        <w:ind w:firstLine="641"/>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充分发挥市场在资源配置中的决定性作用</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采取直接补助、</w:t>
      </w:r>
      <w:r>
        <w:rPr>
          <w:rFonts w:hint="eastAsia" w:ascii="Times New Roman" w:hAnsi="Times New Roman" w:cs="Times New Roman"/>
          <w:color w:val="auto"/>
          <w:sz w:val="32"/>
          <w:highlight w:val="none"/>
          <w:lang w:eastAsia="zh-CN"/>
        </w:rPr>
        <w:t>“</w:t>
      </w:r>
      <w:r>
        <w:rPr>
          <w:rFonts w:hint="eastAsia" w:ascii="Times New Roman" w:hAnsi="Times New Roman" w:cs="Times New Roman"/>
          <w:color w:val="auto"/>
          <w:sz w:val="32"/>
          <w:highlight w:val="none"/>
          <w:lang w:val="en-US" w:eastAsia="zh-CN"/>
        </w:rPr>
        <w:t>补改投</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等方式，通过中央财政集中资金引导，撬动金融资本和社会资本参与建设，促进产业园内经营主体与农民合理分享增值收益，提高狮头鹅产业的内在活力和竞争力。</w:t>
      </w:r>
    </w:p>
    <w:p w14:paraId="4D688141">
      <w:pPr>
        <w:pageBreakBefore w:val="0"/>
        <w:kinsoku/>
        <w:overflowPunct/>
        <w:topLinePunct w:val="0"/>
        <w:autoSpaceDE/>
        <w:autoSpaceDN/>
        <w:bidi w:val="0"/>
        <w:adjustRightInd/>
        <w:snapToGrid/>
        <w:spacing w:line="590" w:lineRule="exact"/>
        <w:ind w:firstLine="643"/>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b/>
          <w:color w:val="auto"/>
          <w:sz w:val="32"/>
          <w:highlight w:val="none"/>
        </w:rPr>
        <w:t>奖补方式：</w:t>
      </w:r>
      <w:r>
        <w:rPr>
          <w:rFonts w:hint="default" w:ascii="Times New Roman" w:hAnsi="Times New Roman" w:eastAsia="仿宋_GB2312" w:cs="Times New Roman"/>
          <w:color w:val="auto"/>
          <w:sz w:val="32"/>
          <w:highlight w:val="none"/>
        </w:rPr>
        <w:t>中央财政将安排每个国家现代农业产业园资金约</w:t>
      </w:r>
      <w:r>
        <w:rPr>
          <w:rFonts w:hint="eastAsia" w:ascii="Times New Roman" w:hAnsi="Times New Roman" w:cs="Times New Roman"/>
          <w:color w:val="auto"/>
          <w:sz w:val="32"/>
          <w:highlight w:val="none"/>
          <w:lang w:val="en-US" w:eastAsia="zh-CN"/>
        </w:rPr>
        <w:t>7000</w:t>
      </w:r>
      <w:r>
        <w:rPr>
          <w:rFonts w:hint="default" w:ascii="Times New Roman" w:hAnsi="Times New Roman" w:eastAsia="仿宋_GB2312" w:cs="Times New Roman"/>
          <w:color w:val="auto"/>
          <w:sz w:val="32"/>
          <w:highlight w:val="none"/>
        </w:rPr>
        <w:t>万元，</w:t>
      </w:r>
      <w:r>
        <w:rPr>
          <w:rFonts w:hint="eastAsia" w:ascii="Times New Roman" w:hAnsi="Times New Roman" w:cs="Times New Roman"/>
          <w:color w:val="auto"/>
          <w:sz w:val="32"/>
          <w:highlight w:val="none"/>
          <w:lang w:val="en-US" w:eastAsia="zh-CN"/>
        </w:rPr>
        <w:t>分2批拨付</w:t>
      </w:r>
      <w:r>
        <w:rPr>
          <w:rFonts w:hint="default" w:ascii="Times New Roman" w:hAnsi="Times New Roman" w:eastAsia="仿宋_GB2312" w:cs="Times New Roman"/>
          <w:color w:val="auto"/>
          <w:sz w:val="32"/>
          <w:highlight w:val="none"/>
        </w:rPr>
        <w:t>，</w:t>
      </w:r>
      <w:r>
        <w:rPr>
          <w:rFonts w:hint="eastAsia" w:ascii="Times New Roman" w:hAnsi="Times New Roman" w:cs="Times New Roman"/>
          <w:color w:val="auto"/>
          <w:sz w:val="32"/>
          <w:highlight w:val="none"/>
          <w:lang w:val="en-US" w:eastAsia="zh-CN"/>
        </w:rPr>
        <w:t>其中2024—2026年使用不低于已下达资金的95%，</w:t>
      </w:r>
      <w:r>
        <w:rPr>
          <w:rFonts w:hint="default" w:ascii="Times New Roman" w:hAnsi="Times New Roman" w:eastAsia="仿宋_GB2312" w:cs="Times New Roman"/>
          <w:color w:val="auto"/>
          <w:sz w:val="32"/>
          <w:highlight w:val="none"/>
        </w:rPr>
        <w:t>主要用于产业园</w:t>
      </w:r>
      <w:r>
        <w:rPr>
          <w:rFonts w:hint="eastAsia" w:ascii="Times New Roman" w:hAnsi="Times New Roman" w:cs="Times New Roman"/>
          <w:color w:val="auto"/>
          <w:sz w:val="32"/>
          <w:highlight w:val="none"/>
          <w:lang w:val="en-US" w:eastAsia="zh-CN"/>
        </w:rPr>
        <w:t>5个</w:t>
      </w:r>
      <w:r>
        <w:rPr>
          <w:rFonts w:hint="default" w:ascii="Times New Roman" w:hAnsi="Times New Roman" w:eastAsia="仿宋_GB2312" w:cs="Times New Roman"/>
          <w:color w:val="auto"/>
          <w:sz w:val="32"/>
          <w:highlight w:val="none"/>
        </w:rPr>
        <w:t>项目</w:t>
      </w:r>
      <w:r>
        <w:rPr>
          <w:rFonts w:hint="eastAsia" w:ascii="Times New Roman" w:hAnsi="Times New Roman" w:cs="Times New Roman"/>
          <w:color w:val="auto"/>
          <w:sz w:val="32"/>
          <w:highlight w:val="none"/>
          <w:lang w:val="en-US" w:eastAsia="zh-CN"/>
        </w:rPr>
        <w:t>建设</w:t>
      </w:r>
      <w:r>
        <w:rPr>
          <w:rFonts w:hint="default" w:ascii="Times New Roman" w:hAnsi="Times New Roman" w:eastAsia="仿宋_GB2312" w:cs="Times New Roman"/>
          <w:color w:val="auto"/>
          <w:sz w:val="32"/>
          <w:highlight w:val="none"/>
        </w:rPr>
        <w:t>。创新中央专项资金使用方式。政府直接投资重点针对产业园公益性较强的公共基础设施与公共服务领域；</w:t>
      </w:r>
      <w:r>
        <w:rPr>
          <w:rFonts w:hint="eastAsia" w:ascii="Times New Roman" w:hAnsi="Times New Roman" w:cs="Times New Roman"/>
          <w:color w:val="auto"/>
          <w:sz w:val="32"/>
          <w:highlight w:val="none"/>
          <w:lang w:val="en-US" w:eastAsia="zh-CN"/>
        </w:rPr>
        <w:t>结合狮头鹅产业实际情况，采取直接补助的方式支持狮头鹅经营主体，撬动社会资本参与产业园建设运营同时，促进中央财政奖补资金带动村集体获得固定收益；立足澄海区狮头鹅产业开展全产业链资源整合优化，采取“补改投”模式，平台企业与园区经营主体合作开展项目建设，进一步完善产业链条，进一步撬动社会资本投入，同时投资收益的30%用于带动产业园内村集体和农民增收、支持狮头鹅产业发展或用于产业园公共基础设或公共服务设施建设，充分发挥中央财政奖补资金公益效能。</w:t>
      </w:r>
    </w:p>
    <w:p w14:paraId="7746DD98">
      <w:pPr>
        <w:pageBreakBefore w:val="0"/>
        <w:kinsoku/>
        <w:overflowPunct/>
        <w:topLinePunct w:val="0"/>
        <w:autoSpaceDE/>
        <w:autoSpaceDN/>
        <w:bidi w:val="0"/>
        <w:adjustRightInd/>
        <w:snapToGrid/>
        <w:spacing w:line="590" w:lineRule="exact"/>
        <w:ind w:firstLine="64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中央财政资金使用主要采用</w:t>
      </w:r>
      <w:r>
        <w:rPr>
          <w:rFonts w:hint="eastAsia" w:ascii="Times New Roman" w:hAnsi="Times New Roman" w:cs="Times New Roman"/>
          <w:color w:val="auto"/>
          <w:sz w:val="32"/>
          <w:highlight w:val="none"/>
          <w:lang w:val="en-US" w:eastAsia="zh-CN"/>
        </w:rPr>
        <w:t>直接补助、“补改投”等方式支持产业园建设。</w:t>
      </w:r>
    </w:p>
    <w:p w14:paraId="3AFB863B">
      <w:pPr>
        <w:pageBreakBefore w:val="0"/>
        <w:kinsoku/>
        <w:overflowPunct/>
        <w:topLinePunct w:val="0"/>
        <w:autoSpaceDE/>
        <w:autoSpaceDN/>
        <w:bidi w:val="0"/>
        <w:adjustRightInd/>
        <w:snapToGrid/>
        <w:spacing w:line="590" w:lineRule="exact"/>
        <w:ind w:firstLine="562"/>
        <w:jc w:val="center"/>
        <w:rPr>
          <w:rFonts w:hint="default" w:ascii="Times New Roman" w:hAnsi="Times New Roman" w:eastAsia="黑体" w:cs="Times New Roman"/>
          <w:b w:val="0"/>
          <w:bCs w:val="0"/>
          <w:color w:val="auto"/>
          <w:sz w:val="28"/>
          <w:szCs w:val="28"/>
          <w:highlight w:val="none"/>
        </w:rPr>
        <w:sectPr>
          <w:pgSz w:w="11906" w:h="16838"/>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6FA4221">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 w:val="32"/>
          <w:szCs w:val="32"/>
          <w:highlight w:val="none"/>
          <w:lang w:val="en-US" w:eastAsia="zh-CN"/>
        </w:rPr>
      </w:pPr>
      <w:bookmarkStart w:id="226" w:name="_Toc12731"/>
      <w:bookmarkStart w:id="227" w:name="_Toc6828"/>
      <w:bookmarkStart w:id="228" w:name="_Toc5928"/>
      <w:r>
        <w:rPr>
          <w:rFonts w:hint="default" w:ascii="Times New Roman" w:hAnsi="Times New Roman" w:cs="仿宋_GB2312"/>
          <w:color w:val="auto"/>
          <w:sz w:val="32"/>
          <w:szCs w:val="32"/>
          <w:highlight w:val="none"/>
          <w:lang w:val="en-US" w:eastAsia="zh-CN"/>
        </w:rPr>
        <w:t>3.其他资金使用方案</w:t>
      </w:r>
      <w:bookmarkEnd w:id="226"/>
      <w:bookmarkEnd w:id="227"/>
      <w:bookmarkEnd w:id="228"/>
    </w:p>
    <w:p w14:paraId="764F64A7">
      <w:pPr>
        <w:pageBreakBefore w:val="0"/>
        <w:kinsoku/>
        <w:overflowPunct/>
        <w:topLinePunct w:val="0"/>
        <w:autoSpaceDE/>
        <w:autoSpaceDN/>
        <w:bidi w:val="0"/>
        <w:adjustRightInd/>
        <w:snapToGrid/>
        <w:spacing w:line="590" w:lineRule="exact"/>
        <w:ind w:firstLine="643"/>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b/>
          <w:color w:val="auto"/>
          <w:sz w:val="32"/>
          <w:highlight w:val="none"/>
        </w:rPr>
        <w:t>——整合省、市、区涉农统筹财政资金使用方面，</w:t>
      </w:r>
      <w:r>
        <w:rPr>
          <w:rFonts w:hint="default" w:ascii="Times New Roman" w:hAnsi="Times New Roman" w:eastAsia="仿宋_GB2312" w:cs="Times New Roman"/>
          <w:color w:val="auto"/>
          <w:sz w:val="32"/>
          <w:highlight w:val="none"/>
        </w:rPr>
        <w:t>围绕</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统、放、管</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三方面系统部署，建立了</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大专项+考核任务+绩效管理</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涉农资金管理新机制，多部门整合涉农资金</w:t>
      </w:r>
      <w:r>
        <w:rPr>
          <w:rFonts w:hint="eastAsia"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计划累计整合各级财政涉农资金</w:t>
      </w:r>
      <w:r>
        <w:rPr>
          <w:rFonts w:hint="eastAsia" w:ascii="Times New Roman" w:hAnsi="Times New Roman" w:cs="Times New Roman"/>
          <w:color w:val="auto"/>
          <w:sz w:val="32"/>
          <w:highlight w:val="none"/>
          <w:lang w:val="en-US" w:eastAsia="zh-CN"/>
        </w:rPr>
        <w:t>7.518</w:t>
      </w:r>
      <w:r>
        <w:rPr>
          <w:rFonts w:hint="default" w:ascii="Times New Roman" w:hAnsi="Times New Roman" w:eastAsia="仿宋_GB2312" w:cs="Times New Roman"/>
          <w:color w:val="auto"/>
          <w:sz w:val="32"/>
          <w:highlight w:val="none"/>
        </w:rPr>
        <w:t>亿元，按照</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渠道不乱、用途不变</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多个渠道进水、一个池子蓄水、一个龙头放水</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的原则，向园区适当倾斜，主要渠道为</w:t>
      </w:r>
      <w:r>
        <w:rPr>
          <w:rFonts w:hint="eastAsia" w:ascii="Times New Roman" w:hAnsi="Times New Roman" w:eastAsia="仿宋_GB2312" w:cs="Times New Roman"/>
          <w:color w:val="auto"/>
          <w:sz w:val="32"/>
          <w:highlight w:val="none"/>
          <w:lang w:val="en-US" w:eastAsia="zh-CN"/>
        </w:rPr>
        <w:t>驻镇帮镇扶村、村庄基础设施建设</w:t>
      </w:r>
      <w:r>
        <w:rPr>
          <w:rFonts w:hint="default" w:ascii="Times New Roman" w:hAnsi="Times New Roman" w:eastAsia="仿宋_GB2312" w:cs="Times New Roman"/>
          <w:color w:val="auto"/>
          <w:sz w:val="32"/>
          <w:highlight w:val="none"/>
        </w:rPr>
        <w:t>、</w:t>
      </w:r>
      <w:r>
        <w:rPr>
          <w:rFonts w:hint="eastAsia" w:ascii="Times New Roman" w:hAnsi="Times New Roman" w:eastAsia="仿宋_GB2312" w:cs="Times New Roman"/>
          <w:color w:val="auto"/>
          <w:sz w:val="32"/>
          <w:highlight w:val="none"/>
          <w:lang w:val="en-US" w:eastAsia="zh-CN"/>
        </w:rPr>
        <w:t>农产品质量安全、畜牧业转型升级、动植物疫病防控、推进农业绿色发展和构建乡村产业体系等资金</w:t>
      </w:r>
      <w:r>
        <w:rPr>
          <w:rFonts w:hint="default" w:ascii="Times New Roman" w:hAnsi="Times New Roman" w:eastAsia="仿宋_GB2312" w:cs="Times New Roman"/>
          <w:color w:val="auto"/>
          <w:sz w:val="32"/>
          <w:highlight w:val="none"/>
        </w:rPr>
        <w:t>。</w:t>
      </w:r>
      <w:r>
        <w:rPr>
          <w:rFonts w:hint="eastAsia" w:ascii="Times New Roman" w:hAnsi="Times New Roman" w:eastAsia="仿宋_GB2312" w:cs="Times New Roman"/>
          <w:color w:val="auto"/>
          <w:sz w:val="32"/>
          <w:highlight w:val="none"/>
          <w:lang w:val="en-US" w:eastAsia="zh-CN"/>
        </w:rPr>
        <w:t>成立区涉农资金统筹整合领导小组，组织相关</w:t>
      </w:r>
      <w:r>
        <w:rPr>
          <w:rFonts w:hint="default" w:ascii="Times New Roman" w:hAnsi="Times New Roman" w:eastAsia="仿宋_GB2312" w:cs="Times New Roman"/>
          <w:color w:val="auto"/>
          <w:sz w:val="32"/>
          <w:highlight w:val="none"/>
          <w:lang w:val="en-US" w:eastAsia="zh-CN"/>
        </w:rPr>
        <w:t>组织部门</w:t>
      </w:r>
      <w:r>
        <w:rPr>
          <w:rFonts w:hint="eastAsia" w:ascii="Times New Roman" w:hAnsi="Times New Roman" w:eastAsia="仿宋_GB2312" w:cs="Times New Roman"/>
          <w:color w:val="auto"/>
          <w:sz w:val="32"/>
          <w:highlight w:val="none"/>
          <w:lang w:val="en-US" w:eastAsia="zh-CN"/>
        </w:rPr>
        <w:t>将产业园建设项目纳入涉农资金储备库。</w:t>
      </w:r>
      <w:r>
        <w:rPr>
          <w:rFonts w:hint="default" w:ascii="Times New Roman" w:hAnsi="Times New Roman" w:eastAsia="仿宋_GB2312" w:cs="Times New Roman"/>
          <w:color w:val="auto"/>
          <w:sz w:val="32"/>
          <w:highlight w:val="none"/>
        </w:rPr>
        <w:t>区财政局在年度支农资金预算时，根据项目区建设的需要进行整合。</w:t>
      </w:r>
    </w:p>
    <w:p w14:paraId="6B424CE1">
      <w:pPr>
        <w:pageBreakBefore w:val="0"/>
        <w:kinsoku/>
        <w:overflowPunct/>
        <w:topLinePunct w:val="0"/>
        <w:autoSpaceDE/>
        <w:autoSpaceDN/>
        <w:bidi w:val="0"/>
        <w:adjustRightInd/>
        <w:snapToGrid/>
        <w:spacing w:line="590" w:lineRule="exact"/>
        <w:ind w:firstLine="643"/>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b/>
          <w:color w:val="auto"/>
          <w:sz w:val="32"/>
          <w:highlight w:val="none"/>
        </w:rPr>
        <w:t>——社会资金投入方面，</w:t>
      </w:r>
      <w:r>
        <w:rPr>
          <w:rFonts w:hint="default" w:ascii="Times New Roman" w:hAnsi="Times New Roman" w:eastAsia="仿宋_GB2312" w:cs="Times New Roman"/>
          <w:color w:val="auto"/>
          <w:sz w:val="32"/>
          <w:highlight w:val="none"/>
        </w:rPr>
        <w:t>加快建立多渠道、多元化的资金投入机制。引进风险投资公司，实现园区、企业与资本市场对接。通过投融资平台的搭建，加强银行、财信担保、风投公司等的合作，加大对园区农业、科技企业和开发项目的投资。与农户建立利益联结机制，提高农民积极性，引导农户投工、投劳、投物参与园区建设。</w:t>
      </w:r>
    </w:p>
    <w:p w14:paraId="7247430B">
      <w:pPr>
        <w:pStyle w:val="3"/>
        <w:keepNext/>
        <w:pageBreakBefore w:val="0"/>
        <w:spacing w:before="0" w:beforeLines="-2147483648" w:after="0" w:afterLines="-2147483648" w:line="360" w:lineRule="auto"/>
        <w:ind w:firstLine="640" w:firstLineChars="200"/>
        <w:jc w:val="both"/>
        <w:rPr>
          <w:rFonts w:hint="eastAsia" w:ascii="Times New Roman" w:hAnsi="Times New Roman" w:cs="Times New Roman"/>
          <w:b w:val="0"/>
          <w:bCs/>
          <w:color w:val="auto"/>
          <w:szCs w:val="44"/>
          <w:highlight w:val="none"/>
          <w:lang w:val="en-US" w:eastAsia="zh-CN"/>
        </w:rPr>
      </w:pPr>
      <w:bookmarkStart w:id="229" w:name="_Toc13443"/>
      <w:bookmarkStart w:id="230" w:name="_Toc19818"/>
      <w:bookmarkStart w:id="231" w:name="_Toc3923"/>
      <w:bookmarkStart w:id="232" w:name="_Toc19034"/>
      <w:bookmarkStart w:id="233" w:name="_Toc14805"/>
      <w:bookmarkStart w:id="234" w:name="_Toc11555"/>
      <w:bookmarkStart w:id="235" w:name="_Toc22505"/>
      <w:r>
        <w:rPr>
          <w:rFonts w:hint="eastAsia" w:ascii="Times New Roman" w:hAnsi="Times New Roman" w:cs="Times New Roman"/>
          <w:b w:val="0"/>
          <w:bCs/>
          <w:color w:val="auto"/>
          <w:szCs w:val="44"/>
          <w:highlight w:val="none"/>
          <w:lang w:val="en-US" w:eastAsia="zh-CN"/>
        </w:rPr>
        <w:t>八、效益分析</w:t>
      </w:r>
      <w:bookmarkEnd w:id="229"/>
      <w:bookmarkEnd w:id="230"/>
      <w:bookmarkEnd w:id="231"/>
      <w:bookmarkEnd w:id="232"/>
      <w:bookmarkEnd w:id="233"/>
      <w:bookmarkEnd w:id="234"/>
      <w:bookmarkEnd w:id="235"/>
    </w:p>
    <w:p w14:paraId="6A984054">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 w:val="32"/>
          <w:szCs w:val="32"/>
          <w:highlight w:val="none"/>
          <w:lang w:val="en-US" w:eastAsia="zh-CN"/>
        </w:rPr>
      </w:pPr>
      <w:bookmarkStart w:id="236" w:name="_Toc24564"/>
      <w:bookmarkStart w:id="237" w:name="_Toc21000"/>
      <w:bookmarkStart w:id="238" w:name="_Toc31284"/>
      <w:r>
        <w:rPr>
          <w:rFonts w:hint="default" w:ascii="Times New Roman" w:hAnsi="Times New Roman" w:cs="仿宋_GB2312"/>
          <w:color w:val="auto"/>
          <w:sz w:val="32"/>
          <w:szCs w:val="32"/>
          <w:highlight w:val="none"/>
          <w:lang w:val="en-US" w:eastAsia="zh-CN"/>
        </w:rPr>
        <w:t>1.经济效益</w:t>
      </w:r>
      <w:bookmarkEnd w:id="236"/>
      <w:bookmarkEnd w:id="237"/>
      <w:bookmarkEnd w:id="238"/>
    </w:p>
    <w:p w14:paraId="2804C41F">
      <w:pPr>
        <w:pageBreakBefore w:val="0"/>
        <w:kinsoku/>
        <w:overflowPunct/>
        <w:topLinePunct w:val="0"/>
        <w:autoSpaceDE/>
        <w:autoSpaceDN/>
        <w:bidi w:val="0"/>
        <w:adjustRightInd/>
        <w:snapToGrid/>
        <w:spacing w:line="590" w:lineRule="exact"/>
        <w:ind w:firstLine="64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通过</w:t>
      </w:r>
      <w:r>
        <w:rPr>
          <w:rFonts w:hint="eastAsia" w:ascii="Times New Roman" w:hAnsi="Times New Roman" w:cs="Times New Roman"/>
          <w:color w:val="auto"/>
          <w:sz w:val="32"/>
          <w:highlight w:val="none"/>
          <w:lang w:eastAsia="zh-CN"/>
        </w:rPr>
        <w:t>建设</w:t>
      </w:r>
      <w:r>
        <w:rPr>
          <w:rFonts w:hint="default" w:ascii="Times New Roman" w:hAnsi="Times New Roman" w:eastAsia="仿宋_GB2312" w:cs="Times New Roman"/>
          <w:color w:val="auto"/>
          <w:sz w:val="32"/>
          <w:highlight w:val="none"/>
        </w:rPr>
        <w:t>广东省汕头市澄海区国家现代农业产业园，实施一批重点项目，全面建立起生产+屠宰加工+品牌（营销）+科技一体化的狮头鹅全产业链体系建设，推进良种良法配套、农艺农机融合，带动全区农业农村一二三产业集群发展、融合一体、转型提升，重点成功打造集狮头鹅养殖、涉农产业、种业会展、狮头鹅+旅游等板块于一体的狮头鹅关联产业集群，有力促进产业园狮头鹅全产业链发展水平显著提高，推进一二三产业融合发展的现代农业产业体系建设，辐射带动周边地区调整升级产业结构，转变农业发展方式，拓宽农业产业链条，大幅提高农业经济效益、产品附加值和市场竞争力，农民收入持续增加。到202</w:t>
      </w:r>
      <w:r>
        <w:rPr>
          <w:rFonts w:hint="eastAsia" w:ascii="Times New Roman" w:hAnsi="Times New Roman" w:cs="Times New Roman"/>
          <w:color w:val="auto"/>
          <w:sz w:val="32"/>
          <w:highlight w:val="none"/>
          <w:lang w:val="en-US" w:eastAsia="zh-CN"/>
        </w:rPr>
        <w:t>6</w:t>
      </w:r>
      <w:r>
        <w:rPr>
          <w:rFonts w:hint="default" w:ascii="Times New Roman" w:hAnsi="Times New Roman" w:eastAsia="仿宋_GB2312" w:cs="Times New Roman"/>
          <w:color w:val="auto"/>
          <w:sz w:val="32"/>
          <w:highlight w:val="none"/>
        </w:rPr>
        <w:t>年</w:t>
      </w:r>
      <w:r>
        <w:rPr>
          <w:rFonts w:hint="eastAsia"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狮头鹅主导产业进一步聚焦，狮头鹅</w:t>
      </w:r>
      <w:r>
        <w:rPr>
          <w:rFonts w:hint="eastAsia" w:ascii="Times New Roman" w:hAnsi="Times New Roman" w:eastAsia="仿宋_GB2312" w:cs="Times New Roman"/>
          <w:color w:val="auto"/>
          <w:sz w:val="32"/>
          <w:highlight w:val="none"/>
          <w:lang w:val="en-US" w:eastAsia="zh-CN"/>
        </w:rPr>
        <w:t>出栏量达</w:t>
      </w:r>
      <w:r>
        <w:rPr>
          <w:rFonts w:hint="eastAsia" w:ascii="Times New Roman" w:hAnsi="Times New Roman" w:cs="Times New Roman"/>
          <w:color w:val="auto"/>
          <w:sz w:val="32"/>
          <w:highlight w:val="none"/>
          <w:lang w:val="en-US" w:eastAsia="zh-CN"/>
        </w:rPr>
        <w:t>1000</w:t>
      </w:r>
      <w:r>
        <w:rPr>
          <w:rFonts w:hint="eastAsia" w:ascii="Times New Roman" w:hAnsi="Times New Roman" w:eastAsia="仿宋_GB2312" w:cs="Times New Roman"/>
          <w:color w:val="auto"/>
          <w:sz w:val="32"/>
          <w:highlight w:val="none"/>
          <w:lang w:val="en-US" w:eastAsia="zh-CN"/>
        </w:rPr>
        <w:t>万只，</w:t>
      </w:r>
      <w:r>
        <w:rPr>
          <w:rFonts w:hint="default" w:ascii="Times New Roman" w:hAnsi="Times New Roman" w:eastAsia="仿宋_GB2312" w:cs="Times New Roman"/>
          <w:color w:val="auto"/>
          <w:sz w:val="32"/>
          <w:highlight w:val="none"/>
        </w:rPr>
        <w:t>主导产业产值</w:t>
      </w:r>
      <w:r>
        <w:rPr>
          <w:rFonts w:hint="eastAsia" w:ascii="Times New Roman" w:hAnsi="Times New Roman" w:eastAsia="仿宋_GB2312" w:cs="Times New Roman"/>
          <w:color w:val="auto"/>
          <w:sz w:val="32"/>
          <w:highlight w:val="none"/>
          <w:lang w:val="en-US" w:eastAsia="zh-CN"/>
        </w:rPr>
        <w:t>达</w:t>
      </w:r>
      <w:r>
        <w:rPr>
          <w:rFonts w:hint="eastAsia" w:ascii="Times New Roman" w:hAnsi="Times New Roman" w:cs="Times New Roman"/>
          <w:color w:val="auto"/>
          <w:sz w:val="32"/>
          <w:highlight w:val="none"/>
          <w:lang w:val="en-US" w:eastAsia="zh-CN"/>
        </w:rPr>
        <w:t>109.8</w:t>
      </w:r>
      <w:r>
        <w:rPr>
          <w:rFonts w:hint="eastAsia" w:ascii="Times New Roman" w:hAnsi="Times New Roman" w:eastAsia="仿宋_GB2312" w:cs="Times New Roman"/>
          <w:color w:val="auto"/>
          <w:sz w:val="32"/>
          <w:highlight w:val="none"/>
          <w:lang w:val="en-US" w:eastAsia="zh-CN"/>
        </w:rPr>
        <w:t>亿元，产业园总产值达</w:t>
      </w:r>
      <w:r>
        <w:rPr>
          <w:rFonts w:hint="eastAsia" w:ascii="Times New Roman" w:hAnsi="Times New Roman" w:cs="Times New Roman"/>
          <w:color w:val="auto"/>
          <w:sz w:val="32"/>
          <w:highlight w:val="none"/>
          <w:lang w:val="en-US" w:eastAsia="zh-CN"/>
        </w:rPr>
        <w:t>163</w:t>
      </w:r>
      <w:r>
        <w:rPr>
          <w:rFonts w:hint="eastAsia" w:ascii="Times New Roman" w:hAnsi="Times New Roman" w:eastAsia="仿宋_GB2312" w:cs="Times New Roman"/>
          <w:color w:val="auto"/>
          <w:sz w:val="32"/>
          <w:highlight w:val="none"/>
          <w:lang w:val="en-US" w:eastAsia="zh-CN"/>
        </w:rPr>
        <w:t>亿元。</w:t>
      </w:r>
      <w:r>
        <w:rPr>
          <w:rFonts w:hint="default" w:ascii="Times New Roman" w:hAnsi="Times New Roman" w:eastAsia="仿宋_GB2312" w:cs="Times New Roman"/>
          <w:color w:val="auto"/>
          <w:sz w:val="32"/>
          <w:highlight w:val="none"/>
        </w:rPr>
        <w:t>全产业链的经济价值与综合竞争力不断提升，加工流通链条快速延伸，新业态发展良好，产业融合优势明显；农旅融合功能稳步拓展，逐步打造一批农业旅游知名的目的地。促进园区产业链条完整、功能多样、业态丰富、利益联结紧密、产业融合发展的格局更加巩固，加快建成</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生态美、农民富、业态多、产值高、带动强</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的现代农业产业园。</w:t>
      </w:r>
    </w:p>
    <w:p w14:paraId="02FCE521">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 w:val="32"/>
          <w:szCs w:val="32"/>
          <w:highlight w:val="none"/>
          <w:lang w:val="en-US" w:eastAsia="zh-CN"/>
        </w:rPr>
      </w:pPr>
      <w:bookmarkStart w:id="239" w:name="_Toc32260"/>
      <w:bookmarkStart w:id="240" w:name="_Toc16965"/>
      <w:bookmarkStart w:id="241" w:name="_Toc28975"/>
      <w:r>
        <w:rPr>
          <w:rFonts w:hint="default" w:ascii="Times New Roman" w:hAnsi="Times New Roman" w:cs="仿宋_GB2312"/>
          <w:color w:val="auto"/>
          <w:sz w:val="32"/>
          <w:szCs w:val="32"/>
          <w:highlight w:val="none"/>
          <w:lang w:val="en-US" w:eastAsia="zh-CN"/>
        </w:rPr>
        <w:t>2.生态效益</w:t>
      </w:r>
      <w:bookmarkEnd w:id="239"/>
      <w:bookmarkEnd w:id="240"/>
      <w:bookmarkEnd w:id="241"/>
    </w:p>
    <w:p w14:paraId="76094C43">
      <w:pPr>
        <w:pageBreakBefore w:val="0"/>
        <w:kinsoku/>
        <w:overflowPunct/>
        <w:topLinePunct w:val="0"/>
        <w:autoSpaceDE/>
        <w:autoSpaceDN/>
        <w:bidi w:val="0"/>
        <w:adjustRightInd/>
        <w:snapToGrid/>
        <w:spacing w:line="590" w:lineRule="exact"/>
        <w:ind w:firstLine="64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通过实施一批农业生态环境保护与治理、农业资源节约利用等项目，促进产业园生态环境不断改善，生态系统功能得到有效恢复和增强。产业园农业资源利用方式加快转变，农业水资源利用总量与效率得到严格管控。坚持经济效益、社会效益与生态效益并重，注重在产业园中运用环境友好型生产技术，科学合理规划布局各功能区，建设污水、粪污资源化处理、垃圾处理设施和农业投入品废弃包装物处理，并通过示范推广功能促进周边农村采用生态友好型环保技术进行生产，减少环境污染，保护生态环境，从而改善当地农村环境质量，建设期末农业废弃物资源化利用率</w:t>
      </w:r>
      <w:r>
        <w:rPr>
          <w:rFonts w:hint="eastAsia" w:ascii="Times New Roman" w:hAnsi="Times New Roman" w:cs="Times New Roman"/>
          <w:color w:val="auto"/>
          <w:sz w:val="32"/>
          <w:highlight w:val="none"/>
          <w:lang w:val="en-US" w:eastAsia="zh-CN"/>
        </w:rPr>
        <w:t>达92</w:t>
      </w:r>
      <w:r>
        <w:rPr>
          <w:rFonts w:hint="default" w:ascii="Times New Roman" w:hAnsi="Times New Roman" w:eastAsia="仿宋_GB2312" w:cs="Times New Roman"/>
          <w:color w:val="auto"/>
          <w:sz w:val="32"/>
          <w:highlight w:val="none"/>
        </w:rPr>
        <w:t>%。通过产业园项目的实施，加快了现代农业技术的推广和普及，有效集成特色高效循环农业发展要素，引导区域现代农业产业健康科学发展。生产标准化、经营品牌化、质量可追溯，</w:t>
      </w:r>
      <w:r>
        <w:rPr>
          <w:rFonts w:hint="eastAsia"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两品一标</w:t>
      </w:r>
      <w:r>
        <w:rPr>
          <w:rFonts w:hint="eastAsia"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认证基本实现；建成覆盖由田间到餐桌全程的农产品质量安全追溯监管体系，</w:t>
      </w:r>
      <w:r>
        <w:rPr>
          <w:rFonts w:hint="eastAsia" w:ascii="Times New Roman" w:hAnsi="Times New Roman" w:cs="Times New Roman"/>
          <w:color w:val="auto"/>
          <w:sz w:val="32"/>
          <w:highlight w:val="none"/>
          <w:lang w:val="en-US" w:eastAsia="zh-CN"/>
        </w:rPr>
        <w:t>园内农产品质量安全追溯管理的比例达到100%</w:t>
      </w:r>
      <w:r>
        <w:rPr>
          <w:rFonts w:hint="default" w:ascii="Times New Roman" w:hAnsi="Times New Roman" w:eastAsia="仿宋_GB2312" w:cs="Times New Roman"/>
          <w:color w:val="auto"/>
          <w:sz w:val="32"/>
          <w:highlight w:val="none"/>
        </w:rPr>
        <w:t>，农业生产率先在全省迈入资源节约型和环境友好型的良性发展道路。</w:t>
      </w:r>
    </w:p>
    <w:p w14:paraId="1D73636C">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 w:val="32"/>
          <w:szCs w:val="32"/>
          <w:highlight w:val="none"/>
          <w:lang w:val="en-US" w:eastAsia="zh-CN"/>
        </w:rPr>
      </w:pPr>
      <w:bookmarkStart w:id="242" w:name="_Toc488"/>
      <w:bookmarkStart w:id="243" w:name="_Toc16937"/>
      <w:bookmarkStart w:id="244" w:name="_Toc21750"/>
      <w:r>
        <w:rPr>
          <w:rFonts w:hint="default" w:ascii="Times New Roman" w:hAnsi="Times New Roman" w:cs="仿宋_GB2312"/>
          <w:color w:val="auto"/>
          <w:sz w:val="32"/>
          <w:szCs w:val="32"/>
          <w:highlight w:val="none"/>
          <w:lang w:val="en-US" w:eastAsia="zh-CN"/>
        </w:rPr>
        <w:t>3.社会效益</w:t>
      </w:r>
      <w:bookmarkEnd w:id="242"/>
      <w:bookmarkEnd w:id="243"/>
      <w:bookmarkEnd w:id="244"/>
    </w:p>
    <w:p w14:paraId="3D4528D9">
      <w:pPr>
        <w:pageBreakBefore w:val="0"/>
        <w:kinsoku/>
        <w:overflowPunct/>
        <w:topLinePunct w:val="0"/>
        <w:autoSpaceDE/>
        <w:autoSpaceDN/>
        <w:bidi w:val="0"/>
        <w:adjustRightInd/>
        <w:snapToGrid/>
        <w:spacing w:line="590" w:lineRule="exact"/>
        <w:ind w:firstLine="64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在全国农业供给侧结构性改革不断深化的背景下，围绕狮头鹅标准化繁育与养殖基地提升，实现产业园加快集成应用新装备、新技术，大胆创新经营体制机制，为探索农业现代化道路发挥积极的示范带动作用。建立4家以上以省级以上农业龙头企业为中心的科技创新联盟。延长农业生产产业链，提高农业生产附加值，解决大量农村剩余劳动力，很大程度上缓解了当前城乡劳动力就业的压力。实现产业园建设与农业经营方式转变有机结合，探索各类集约化经营方式，建立产业园发展对农民的辐射带动机制，实现产业园建设与农业经营方式转变有机结合，探索各类集约化经营方式，建立产业园发展对农民的辐射带动机制，入园企业与基地农户、合作社普遍建立</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保底+分红</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的利益联结机制，全产业链带动农户人数</w:t>
      </w:r>
      <w:r>
        <w:rPr>
          <w:rFonts w:hint="eastAsia" w:ascii="Times New Roman" w:hAnsi="Times New Roman" w:cs="Times New Roman"/>
          <w:color w:val="auto"/>
          <w:sz w:val="32"/>
          <w:highlight w:val="none"/>
          <w:lang w:val="en-US" w:eastAsia="zh-CN"/>
        </w:rPr>
        <w:t>5</w:t>
      </w:r>
      <w:r>
        <w:rPr>
          <w:rFonts w:hint="default" w:ascii="Times New Roman" w:hAnsi="Times New Roman" w:eastAsia="仿宋_GB2312" w:cs="Times New Roman"/>
          <w:color w:val="auto"/>
          <w:sz w:val="32"/>
          <w:highlight w:val="none"/>
        </w:rPr>
        <w:t>万，实现产业园农民可支配收入达到</w:t>
      </w:r>
      <w:r>
        <w:rPr>
          <w:rFonts w:hint="eastAsia" w:ascii="Times New Roman" w:hAnsi="Times New Roman" w:cs="Times New Roman"/>
          <w:color w:val="auto"/>
          <w:sz w:val="32"/>
          <w:highlight w:val="none"/>
          <w:lang w:val="en-US" w:eastAsia="zh-CN"/>
        </w:rPr>
        <w:t>3.8</w:t>
      </w:r>
      <w:r>
        <w:rPr>
          <w:rFonts w:hint="default" w:ascii="Times New Roman" w:hAnsi="Times New Roman" w:eastAsia="仿宋_GB2312" w:cs="Times New Roman"/>
          <w:color w:val="auto"/>
          <w:sz w:val="32"/>
          <w:highlight w:val="none"/>
        </w:rPr>
        <w:t>万元，比全区平均水平高出3</w:t>
      </w:r>
      <w:r>
        <w:rPr>
          <w:rFonts w:hint="eastAsia" w:ascii="Times New Roman" w:hAnsi="Times New Roman" w:cs="Times New Roman"/>
          <w:color w:val="auto"/>
          <w:sz w:val="32"/>
          <w:highlight w:val="none"/>
          <w:lang w:val="en-US" w:eastAsia="zh-CN"/>
        </w:rPr>
        <w:t>2.1</w:t>
      </w:r>
      <w:r>
        <w:rPr>
          <w:rFonts w:hint="default" w:ascii="Times New Roman" w:hAnsi="Times New Roman" w:eastAsia="仿宋_GB2312" w:cs="Times New Roman"/>
          <w:color w:val="auto"/>
          <w:sz w:val="32"/>
          <w:highlight w:val="none"/>
        </w:rPr>
        <w:t>%。</w:t>
      </w:r>
      <w:bookmarkStart w:id="245" w:name="_Toc5745"/>
      <w:bookmarkStart w:id="246" w:name="_Toc31770"/>
      <w:bookmarkStart w:id="247" w:name="_Toc11249"/>
    </w:p>
    <w:p w14:paraId="7C0E7F23">
      <w:pPr>
        <w:pStyle w:val="3"/>
        <w:keepNext/>
        <w:pageBreakBefore w:val="0"/>
        <w:spacing w:before="0" w:beforeLines="-2147483648" w:after="0" w:afterLines="-2147483648" w:line="360" w:lineRule="auto"/>
        <w:ind w:firstLine="640" w:firstLineChars="200"/>
        <w:jc w:val="both"/>
        <w:rPr>
          <w:rFonts w:hint="eastAsia" w:ascii="Times New Roman" w:hAnsi="Times New Roman" w:cs="Times New Roman"/>
          <w:b w:val="0"/>
          <w:bCs/>
          <w:color w:val="auto"/>
          <w:szCs w:val="44"/>
          <w:highlight w:val="none"/>
          <w:lang w:val="en-US" w:eastAsia="zh-CN"/>
        </w:rPr>
      </w:pPr>
      <w:bookmarkStart w:id="248" w:name="_Toc22776"/>
      <w:bookmarkStart w:id="249" w:name="_Toc2280"/>
      <w:bookmarkStart w:id="250" w:name="_Toc3438"/>
      <w:bookmarkStart w:id="251" w:name="_Toc29369"/>
      <w:r>
        <w:rPr>
          <w:rFonts w:hint="eastAsia" w:ascii="Times New Roman" w:hAnsi="Times New Roman" w:cs="Times New Roman"/>
          <w:b w:val="0"/>
          <w:bCs/>
          <w:color w:val="auto"/>
          <w:szCs w:val="44"/>
          <w:highlight w:val="none"/>
          <w:lang w:val="en-US" w:eastAsia="zh-CN"/>
        </w:rPr>
        <w:t>九、</w:t>
      </w:r>
      <w:bookmarkEnd w:id="245"/>
      <w:bookmarkEnd w:id="246"/>
      <w:bookmarkEnd w:id="247"/>
      <w:bookmarkEnd w:id="248"/>
      <w:bookmarkEnd w:id="249"/>
      <w:r>
        <w:rPr>
          <w:rFonts w:hint="eastAsia" w:ascii="Times New Roman" w:hAnsi="Times New Roman" w:cs="Times New Roman"/>
          <w:b w:val="0"/>
          <w:bCs/>
          <w:color w:val="auto"/>
          <w:szCs w:val="44"/>
          <w:highlight w:val="none"/>
          <w:lang w:val="en-US" w:eastAsia="zh-CN"/>
        </w:rPr>
        <w:t>创新带动农民增收模式</w:t>
      </w:r>
      <w:bookmarkEnd w:id="250"/>
      <w:bookmarkEnd w:id="251"/>
    </w:p>
    <w:p w14:paraId="79EE2748">
      <w:pPr>
        <w:pageBreakBefore w:val="0"/>
        <w:kinsoku/>
        <w:overflowPunct/>
        <w:topLinePunct w:val="0"/>
        <w:autoSpaceDE/>
        <w:autoSpaceDN/>
        <w:bidi w:val="0"/>
        <w:adjustRightInd/>
        <w:snapToGrid/>
        <w:spacing w:line="590" w:lineRule="exact"/>
        <w:ind w:firstLine="64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遵循产业园</w:t>
      </w:r>
      <w:r>
        <w:rPr>
          <w:rFonts w:hint="eastAsia" w:ascii="Times New Roman" w:hAnsi="Times New Roman" w:cs="Times New Roman"/>
          <w:color w:val="auto"/>
          <w:sz w:val="32"/>
          <w:highlight w:val="none"/>
          <w:lang w:eastAsia="zh-CN"/>
        </w:rPr>
        <w:t>建设“</w:t>
      </w:r>
      <w:r>
        <w:rPr>
          <w:rFonts w:hint="default" w:ascii="Times New Roman" w:hAnsi="Times New Roman" w:eastAsia="仿宋_GB2312" w:cs="Times New Roman"/>
          <w:color w:val="auto"/>
          <w:sz w:val="32"/>
          <w:highlight w:val="none"/>
        </w:rPr>
        <w:t>姓农、务农、为农、兴农</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的基本要求，确立农民在产业园</w:t>
      </w:r>
      <w:r>
        <w:rPr>
          <w:rFonts w:hint="eastAsia" w:ascii="Times New Roman" w:hAnsi="Times New Roman" w:cs="Times New Roman"/>
          <w:color w:val="auto"/>
          <w:sz w:val="32"/>
          <w:highlight w:val="none"/>
          <w:lang w:eastAsia="zh-CN"/>
        </w:rPr>
        <w:t>建设</w:t>
      </w:r>
      <w:r>
        <w:rPr>
          <w:rFonts w:hint="default" w:ascii="Times New Roman" w:hAnsi="Times New Roman" w:eastAsia="仿宋_GB2312" w:cs="Times New Roman"/>
          <w:color w:val="auto"/>
          <w:sz w:val="32"/>
          <w:highlight w:val="none"/>
        </w:rPr>
        <w:t>中的主体地位，充分发挥狮头鹅产业对下游关联产业的带动作用，完善利益联结机制，带动农民就业增收、增产增收和增效增收，让农民充分分享农业产业示范园发展成果。着力推动入园企业积极创新联农带农激励机制，通过构建股权合作等模式，建立健全与基地农户、农民合作社</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保底+分红</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等利益联结关系，实现产业融合发展，让农民充分分享二三产业增值收益。</w:t>
      </w:r>
    </w:p>
    <w:p w14:paraId="6A89E96E">
      <w:pPr>
        <w:pStyle w:val="4"/>
        <w:keepNext w:val="0"/>
        <w:keepLines/>
        <w:pageBreakBefore w:val="0"/>
        <w:widowControl/>
        <w:kinsoku/>
        <w:wordWrap/>
        <w:overflowPunct/>
        <w:topLinePunct w:val="0"/>
        <w:autoSpaceDE/>
        <w:autoSpaceDN/>
        <w:bidi w:val="0"/>
        <w:adjustRightInd/>
        <w:snapToGrid/>
        <w:spacing w:line="590" w:lineRule="exact"/>
        <w:ind w:firstLine="643" w:firstLineChars="200"/>
        <w:textAlignment w:val="auto"/>
        <w:outlineLvl w:val="1"/>
        <w:rPr>
          <w:rFonts w:hint="eastAsia" w:ascii="Times New Roman" w:hAnsi="Times New Roman" w:eastAsia="楷体_GB2312" w:cs="楷体_GB2312"/>
          <w:b/>
          <w:bCs w:val="0"/>
          <w:color w:val="auto"/>
          <w:highlight w:val="none"/>
          <w:lang w:val="en-US" w:eastAsia="zh-CN"/>
        </w:rPr>
      </w:pPr>
      <w:bookmarkStart w:id="252" w:name="_Toc18968"/>
      <w:bookmarkStart w:id="253" w:name="_Toc23780"/>
      <w:bookmarkStart w:id="254" w:name="_Toc25330"/>
      <w:bookmarkStart w:id="255" w:name="_Toc21595"/>
      <w:bookmarkStart w:id="256" w:name="_Toc5794"/>
      <w:bookmarkStart w:id="257" w:name="_Toc21617"/>
      <w:bookmarkStart w:id="258" w:name="_Toc24346"/>
      <w:r>
        <w:rPr>
          <w:rFonts w:hint="eastAsia" w:ascii="Times New Roman" w:hAnsi="Times New Roman" w:eastAsia="楷体_GB2312" w:cs="楷体_GB2312"/>
          <w:b/>
          <w:bCs w:val="0"/>
          <w:color w:val="auto"/>
          <w:highlight w:val="none"/>
          <w:lang w:val="en-US" w:eastAsia="zh-CN"/>
        </w:rPr>
        <w:t>（一）建立农民参与园区建设决策的需求表达机制</w:t>
      </w:r>
      <w:bookmarkEnd w:id="252"/>
      <w:bookmarkEnd w:id="253"/>
      <w:bookmarkEnd w:id="254"/>
      <w:bookmarkEnd w:id="255"/>
      <w:bookmarkEnd w:id="256"/>
      <w:bookmarkEnd w:id="257"/>
      <w:bookmarkEnd w:id="258"/>
    </w:p>
    <w:p w14:paraId="68A7D9E6">
      <w:pPr>
        <w:pageBreakBefore w:val="0"/>
        <w:kinsoku/>
        <w:overflowPunct/>
        <w:topLinePunct w:val="0"/>
        <w:autoSpaceDE/>
        <w:autoSpaceDN/>
        <w:bidi w:val="0"/>
        <w:adjustRightInd/>
        <w:snapToGrid/>
        <w:spacing w:line="590" w:lineRule="exact"/>
        <w:ind w:firstLine="64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切实提高农民在现代农业产业园</w:t>
      </w:r>
      <w:r>
        <w:rPr>
          <w:rFonts w:hint="eastAsia" w:ascii="Times New Roman" w:hAnsi="Times New Roman" w:cs="Times New Roman"/>
          <w:color w:val="auto"/>
          <w:sz w:val="32"/>
          <w:highlight w:val="none"/>
          <w:lang w:eastAsia="zh-CN"/>
        </w:rPr>
        <w:t>建设</w:t>
      </w:r>
      <w:r>
        <w:rPr>
          <w:rFonts w:hint="default" w:ascii="Times New Roman" w:hAnsi="Times New Roman" w:eastAsia="仿宋_GB2312" w:cs="Times New Roman"/>
          <w:color w:val="auto"/>
          <w:sz w:val="32"/>
          <w:highlight w:val="none"/>
        </w:rPr>
        <w:t>中的主体地位，建立尊重民情、反映民需、保障民主、集中民智的新型建设机制。保障农民享有充分的知情权，完善村务公开的形式和基本程序，推行项目公开、合同公开、投资额公开、财务收支情况公开、村集体债权债务公开。保障农民的决策权，畅通农民利益表达渠道，构建农民对园区公共服务设施需求与评价机制，对建设规模不大的项目，推行村民自选、自建、自用、自管的民主化建管模式，确保实施的项目为农民需要，被农民认可。保障农民的监督权，建立农民全过程参与监督的机制，加大村民监督和评议力度。</w:t>
      </w:r>
    </w:p>
    <w:p w14:paraId="097FA873">
      <w:pPr>
        <w:pStyle w:val="4"/>
        <w:keepNext w:val="0"/>
        <w:keepLines/>
        <w:pageBreakBefore w:val="0"/>
        <w:widowControl/>
        <w:kinsoku/>
        <w:wordWrap/>
        <w:overflowPunct/>
        <w:topLinePunct w:val="0"/>
        <w:autoSpaceDE/>
        <w:autoSpaceDN/>
        <w:bidi w:val="0"/>
        <w:adjustRightInd/>
        <w:snapToGrid/>
        <w:spacing w:line="590" w:lineRule="exact"/>
        <w:ind w:firstLine="643" w:firstLineChars="200"/>
        <w:textAlignment w:val="auto"/>
        <w:outlineLvl w:val="1"/>
        <w:rPr>
          <w:rFonts w:hint="eastAsia" w:ascii="Times New Roman" w:hAnsi="Times New Roman" w:eastAsia="楷体_GB2312" w:cs="楷体_GB2312"/>
          <w:b/>
          <w:bCs w:val="0"/>
          <w:color w:val="auto"/>
          <w:highlight w:val="none"/>
          <w:lang w:val="en-US" w:eastAsia="zh-CN"/>
        </w:rPr>
      </w:pPr>
      <w:bookmarkStart w:id="259" w:name="_Toc3156"/>
      <w:bookmarkStart w:id="260" w:name="_Toc9929"/>
      <w:bookmarkStart w:id="261" w:name="_Toc32082"/>
      <w:bookmarkStart w:id="262" w:name="_Toc14111"/>
      <w:bookmarkStart w:id="263" w:name="_Toc8713"/>
      <w:bookmarkStart w:id="264" w:name="_Toc1382"/>
      <w:bookmarkStart w:id="265" w:name="_Toc10281"/>
      <w:r>
        <w:rPr>
          <w:rFonts w:hint="eastAsia" w:ascii="Times New Roman" w:hAnsi="Times New Roman" w:eastAsia="楷体_GB2312" w:cs="楷体_GB2312"/>
          <w:b/>
          <w:bCs w:val="0"/>
          <w:color w:val="auto"/>
          <w:highlight w:val="none"/>
          <w:lang w:val="en-US" w:eastAsia="zh-CN"/>
        </w:rPr>
        <w:t>（二）“公司+农户”产业化带动模式升级</w:t>
      </w:r>
      <w:bookmarkEnd w:id="259"/>
      <w:bookmarkEnd w:id="260"/>
      <w:bookmarkEnd w:id="261"/>
      <w:bookmarkEnd w:id="262"/>
      <w:bookmarkEnd w:id="263"/>
      <w:bookmarkEnd w:id="264"/>
      <w:bookmarkEnd w:id="265"/>
    </w:p>
    <w:p w14:paraId="3249BC5D">
      <w:pPr>
        <w:pageBreakBefore w:val="0"/>
        <w:kinsoku/>
        <w:overflowPunct/>
        <w:topLinePunct w:val="0"/>
        <w:autoSpaceDE/>
        <w:autoSpaceDN/>
        <w:bidi w:val="0"/>
        <w:adjustRightInd/>
        <w:snapToGrid/>
        <w:spacing w:line="590" w:lineRule="exact"/>
        <w:ind w:firstLine="64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整合狮头鹅生产经营产业链，构建</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公司+农户</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公司+合作社+农户</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农业产业化经营利益共同体，将产前、产中和产后环节纳入企业经营的内部价值链，降低养殖户生产经营风险，保障并提高养殖户收益水平。在合作养殖模式中，养殖企业和养殖户共同承担风险，养殖户提供标准栏舍，按照大型养殖企业的要求饲养狮头鹅，养殖企业统一提供鹅苗、饲料、兽药，统一验收并以约定价格方式按批次收购。</w:t>
      </w:r>
    </w:p>
    <w:p w14:paraId="1E2D1AC2">
      <w:pPr>
        <w:pageBreakBefore w:val="0"/>
        <w:kinsoku/>
        <w:overflowPunct/>
        <w:topLinePunct w:val="0"/>
        <w:autoSpaceDE/>
        <w:autoSpaceDN/>
        <w:bidi w:val="0"/>
        <w:adjustRightInd/>
        <w:snapToGrid/>
        <w:spacing w:line="590" w:lineRule="exact"/>
        <w:ind w:firstLine="643"/>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b/>
          <w:color w:val="auto"/>
          <w:sz w:val="32"/>
          <w:highlight w:val="none"/>
        </w:rPr>
        <w:t>破解了龙头企业和农户的短板。</w:t>
      </w:r>
      <w:r>
        <w:rPr>
          <w:rFonts w:hint="default" w:ascii="Times New Roman" w:hAnsi="Times New Roman" w:eastAsia="仿宋_GB2312" w:cs="Times New Roman"/>
          <w:color w:val="auto"/>
          <w:sz w:val="32"/>
          <w:highlight w:val="none"/>
        </w:rPr>
        <w:t>龙头企业的优势是资金、技术和市场网络，短板是缺乏土地资源和劳动力。农户的优势和短板正好与龙头企业相反。合作养殖模式将二者紧密结合，破解了双方的短板，实现双方的优势互补。</w:t>
      </w:r>
    </w:p>
    <w:p w14:paraId="6A43F3BC">
      <w:pPr>
        <w:pageBreakBefore w:val="0"/>
        <w:kinsoku/>
        <w:overflowPunct/>
        <w:topLinePunct w:val="0"/>
        <w:autoSpaceDE/>
        <w:autoSpaceDN/>
        <w:bidi w:val="0"/>
        <w:adjustRightInd/>
        <w:snapToGrid/>
        <w:spacing w:line="590" w:lineRule="exact"/>
        <w:ind w:firstLine="643"/>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b/>
          <w:color w:val="auto"/>
          <w:sz w:val="32"/>
          <w:highlight w:val="none"/>
        </w:rPr>
        <w:t>实现了农户的长效增收。</w:t>
      </w:r>
      <w:r>
        <w:rPr>
          <w:rFonts w:hint="default" w:ascii="Times New Roman" w:hAnsi="Times New Roman" w:eastAsia="仿宋_GB2312" w:cs="Times New Roman"/>
          <w:color w:val="auto"/>
          <w:sz w:val="32"/>
          <w:highlight w:val="none"/>
        </w:rPr>
        <w:t>合作农户在投入开始，可根据目前养殖规模测算未来收益，以销定产稳定农产品价格，帮助农民抵御市场价格风险。</w:t>
      </w:r>
    </w:p>
    <w:p w14:paraId="6AEBBCBB">
      <w:pPr>
        <w:pageBreakBefore w:val="0"/>
        <w:kinsoku/>
        <w:overflowPunct/>
        <w:topLinePunct w:val="0"/>
        <w:autoSpaceDE/>
        <w:autoSpaceDN/>
        <w:bidi w:val="0"/>
        <w:adjustRightInd/>
        <w:snapToGrid/>
        <w:spacing w:line="590" w:lineRule="exact"/>
        <w:ind w:firstLine="643"/>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b/>
          <w:color w:val="auto"/>
          <w:sz w:val="32"/>
          <w:highlight w:val="none"/>
        </w:rPr>
        <w:t>建立了投入激励机制。</w:t>
      </w:r>
      <w:r>
        <w:rPr>
          <w:rFonts w:hint="default" w:ascii="Times New Roman" w:hAnsi="Times New Roman" w:eastAsia="仿宋_GB2312" w:cs="Times New Roman"/>
          <w:color w:val="auto"/>
          <w:sz w:val="32"/>
          <w:highlight w:val="none"/>
        </w:rPr>
        <w:t>一是通过优化养殖环节投入激励农户，龙头企业对新建圈舍和购置设施设备给予补贴，优化了养殖环节的投入渠道，减轻了农户投入的资金压力；二是通过严格的考核机制激励农户，公司确保了农户的最低收益的同时，对认真负责</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出栏高、料耗低的养殖户根据考核结果在利润分配上予以倾斜和激励。</w:t>
      </w:r>
    </w:p>
    <w:p w14:paraId="7004232E">
      <w:pPr>
        <w:pStyle w:val="4"/>
        <w:keepNext w:val="0"/>
        <w:keepLines/>
        <w:pageBreakBefore w:val="0"/>
        <w:widowControl/>
        <w:kinsoku/>
        <w:wordWrap/>
        <w:overflowPunct/>
        <w:topLinePunct w:val="0"/>
        <w:autoSpaceDE/>
        <w:autoSpaceDN/>
        <w:bidi w:val="0"/>
        <w:adjustRightInd/>
        <w:snapToGrid/>
        <w:spacing w:line="590" w:lineRule="exact"/>
        <w:ind w:firstLine="643" w:firstLineChars="200"/>
        <w:textAlignment w:val="auto"/>
        <w:outlineLvl w:val="1"/>
        <w:rPr>
          <w:rFonts w:hint="eastAsia" w:ascii="Times New Roman" w:hAnsi="Times New Roman" w:eastAsia="楷体_GB2312" w:cs="楷体_GB2312"/>
          <w:b/>
          <w:bCs w:val="0"/>
          <w:color w:val="auto"/>
          <w:highlight w:val="none"/>
          <w:lang w:val="en-US" w:eastAsia="zh-CN"/>
        </w:rPr>
      </w:pPr>
      <w:bookmarkStart w:id="266" w:name="_Toc21211"/>
      <w:bookmarkStart w:id="267" w:name="_Toc5567"/>
      <w:bookmarkStart w:id="268" w:name="_Toc2265"/>
      <w:bookmarkStart w:id="269" w:name="_Toc8179"/>
      <w:bookmarkStart w:id="270" w:name="_Toc13606"/>
      <w:bookmarkStart w:id="271" w:name="_Toc27108"/>
      <w:bookmarkStart w:id="272" w:name="_Toc14605"/>
      <w:r>
        <w:rPr>
          <w:rFonts w:hint="eastAsia" w:ascii="Times New Roman" w:hAnsi="Times New Roman" w:eastAsia="楷体_GB2312" w:cs="楷体_GB2312"/>
          <w:b/>
          <w:bCs w:val="0"/>
          <w:color w:val="auto"/>
          <w:highlight w:val="none"/>
          <w:lang w:val="en-US" w:eastAsia="zh-CN"/>
        </w:rPr>
        <w:t>（三）探索“财政资金收益”模式</w:t>
      </w:r>
      <w:bookmarkEnd w:id="266"/>
      <w:bookmarkEnd w:id="267"/>
      <w:bookmarkEnd w:id="268"/>
      <w:bookmarkEnd w:id="269"/>
      <w:bookmarkEnd w:id="270"/>
      <w:bookmarkEnd w:id="271"/>
      <w:bookmarkEnd w:id="272"/>
    </w:p>
    <w:p w14:paraId="475D6B20">
      <w:pPr>
        <w:pageBreakBefore w:val="0"/>
        <w:kinsoku/>
        <w:overflowPunct/>
        <w:topLinePunct w:val="0"/>
        <w:autoSpaceDE/>
        <w:autoSpaceDN/>
        <w:bidi w:val="0"/>
        <w:adjustRightInd/>
        <w:snapToGrid/>
        <w:spacing w:line="590" w:lineRule="exact"/>
        <w:ind w:firstLine="640"/>
        <w:rPr>
          <w:rFonts w:hint="default" w:ascii="Times New Roman" w:hAnsi="Times New Roman" w:cs="Times New Roman"/>
          <w:color w:val="auto"/>
          <w:highlight w:val="none"/>
          <w:lang w:val="en-US" w:eastAsia="zh-CN"/>
        </w:rPr>
      </w:pPr>
      <w:r>
        <w:rPr>
          <w:rFonts w:hint="eastAsia" w:ascii="Times New Roman" w:hAnsi="Times New Roman" w:cs="Times New Roman"/>
          <w:color w:val="auto"/>
          <w:sz w:val="32"/>
          <w:highlight w:val="none"/>
          <w:lang w:val="en-US" w:eastAsia="zh-CN"/>
        </w:rPr>
        <w:t>探索中央财政奖补资金联农带农收益模式，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同时，探索中央财政奖补资金“补改投”试点，</w:t>
      </w:r>
      <w:r>
        <w:rPr>
          <w:rFonts w:hint="default" w:ascii="Times New Roman" w:hAnsi="Times New Roman" w:cs="Times New Roman"/>
          <w:color w:val="auto"/>
          <w:highlight w:val="none"/>
          <w:lang w:val="en-US" w:eastAsia="zh-CN"/>
        </w:rPr>
        <w:t>具体实施方式以国有企业为实施主体，</w:t>
      </w:r>
      <w:r>
        <w:rPr>
          <w:rFonts w:hint="eastAsia" w:ascii="Times New Roman" w:hAnsi="Times New Roman" w:cs="Times New Roman"/>
          <w:color w:val="auto"/>
          <w:highlight w:val="none"/>
          <w:lang w:val="en-US" w:eastAsia="zh-CN"/>
        </w:rPr>
        <w:t>通过与产业园内经营主体合作，</w:t>
      </w:r>
      <w:r>
        <w:rPr>
          <w:rFonts w:hint="default" w:ascii="Times New Roman" w:hAnsi="Times New Roman" w:cs="Times New Roman"/>
          <w:color w:val="auto"/>
          <w:highlight w:val="none"/>
          <w:lang w:val="en-US" w:eastAsia="zh-CN"/>
        </w:rPr>
        <w:t>将中央财政奖补资金投入狮头鹅产业化项目，</w:t>
      </w:r>
      <w:r>
        <w:rPr>
          <w:rFonts w:hint="eastAsia" w:ascii="Times New Roman" w:hAnsi="Times New Roman" w:cs="Times New Roman"/>
          <w:color w:val="auto"/>
          <w:highlight w:val="none"/>
          <w:lang w:val="en-US" w:eastAsia="zh-CN"/>
        </w:rPr>
        <w:t>采取合作形式获取收益，投资收益的30%用于带动产业园内村集体和农民增收、支持狮头鹅产业发展或用于产业园公共基础设或公共服务设施建设。</w:t>
      </w:r>
    </w:p>
    <w:p w14:paraId="26D06C16">
      <w:pPr>
        <w:pStyle w:val="4"/>
        <w:keepNext w:val="0"/>
        <w:keepLines/>
        <w:pageBreakBefore w:val="0"/>
        <w:widowControl/>
        <w:kinsoku/>
        <w:wordWrap/>
        <w:overflowPunct/>
        <w:topLinePunct w:val="0"/>
        <w:autoSpaceDE/>
        <w:autoSpaceDN/>
        <w:bidi w:val="0"/>
        <w:adjustRightInd/>
        <w:snapToGrid/>
        <w:spacing w:line="590" w:lineRule="exact"/>
        <w:ind w:firstLine="643" w:firstLineChars="200"/>
        <w:textAlignment w:val="auto"/>
        <w:outlineLvl w:val="1"/>
        <w:rPr>
          <w:rFonts w:hint="eastAsia" w:ascii="Times New Roman" w:hAnsi="Times New Roman" w:eastAsia="楷体_GB2312" w:cs="楷体_GB2312"/>
          <w:b/>
          <w:bCs w:val="0"/>
          <w:color w:val="auto"/>
          <w:highlight w:val="none"/>
          <w:lang w:val="en-US" w:eastAsia="zh-CN"/>
        </w:rPr>
      </w:pPr>
      <w:bookmarkStart w:id="273" w:name="_Toc8518"/>
      <w:bookmarkStart w:id="274" w:name="_Toc10247"/>
      <w:bookmarkStart w:id="275" w:name="_Toc5259"/>
      <w:bookmarkStart w:id="276" w:name="_Toc1896"/>
      <w:bookmarkStart w:id="277" w:name="_Toc15801"/>
      <w:bookmarkStart w:id="278" w:name="_Toc28251"/>
      <w:bookmarkStart w:id="279" w:name="_Toc28609"/>
      <w:r>
        <w:rPr>
          <w:rFonts w:hint="eastAsia" w:ascii="Times New Roman" w:hAnsi="Times New Roman" w:eastAsia="楷体_GB2312" w:cs="楷体_GB2312"/>
          <w:b/>
          <w:bCs w:val="0"/>
          <w:color w:val="auto"/>
          <w:highlight w:val="none"/>
          <w:lang w:val="en-US" w:eastAsia="zh-CN"/>
        </w:rPr>
        <w:t>（四）完善推广“土地租金+工资收入+股权分红”模式</w:t>
      </w:r>
      <w:bookmarkEnd w:id="273"/>
      <w:bookmarkEnd w:id="274"/>
      <w:bookmarkEnd w:id="275"/>
      <w:bookmarkEnd w:id="276"/>
      <w:bookmarkEnd w:id="277"/>
      <w:bookmarkEnd w:id="278"/>
      <w:bookmarkEnd w:id="279"/>
    </w:p>
    <w:p w14:paraId="50D71977">
      <w:pPr>
        <w:pageBreakBefore w:val="0"/>
        <w:kinsoku/>
        <w:overflowPunct/>
        <w:topLinePunct w:val="0"/>
        <w:autoSpaceDE/>
        <w:autoSpaceDN/>
        <w:bidi w:val="0"/>
        <w:adjustRightInd/>
        <w:snapToGrid/>
        <w:spacing w:line="590" w:lineRule="exact"/>
        <w:ind w:firstLine="64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在产业园完成农村土地确权颁证基础上，依照依法、有偿、自愿原则，创新农业产业化经营方式，发挥龙头企业的品牌营销与技术服务优势，与农民土地资源、劳动力要素等优势相结合，从强化农民经营收入、工资收入、财产收入三大源头，完善推广以</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土地租金+工资收入+股权分红</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为代表的贯通企业、合作社与农户之间的股份制合作带动模式。首先，固化农民土地流转过程中的土地经营权收益，农民将土地流转给企业，以现有市场价格得到保底收入；企业雇佣农民从事狮头鹅养殖生产，由农民返租倒包企业流转的土地后，获取劳务工资性收入和奖励性收入；农民通过土地或资金入股，直接参与企业分红，企业从纯效益中拿出</w:t>
      </w:r>
      <w:r>
        <w:rPr>
          <w:rFonts w:hint="eastAsia" w:ascii="Times New Roman" w:hAnsi="Times New Roman" w:cs="Times New Roman"/>
          <w:color w:val="auto"/>
          <w:sz w:val="32"/>
          <w:highlight w:val="none"/>
          <w:lang w:eastAsia="zh-CN"/>
        </w:rPr>
        <w:t>5%—10%</w:t>
      </w:r>
      <w:r>
        <w:rPr>
          <w:rFonts w:hint="default" w:ascii="Times New Roman" w:hAnsi="Times New Roman" w:eastAsia="仿宋_GB2312" w:cs="Times New Roman"/>
          <w:color w:val="auto"/>
          <w:sz w:val="32"/>
          <w:highlight w:val="none"/>
        </w:rPr>
        <w:t>的比例，实施</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保底收入+二次分红</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等方式，依据入股的土地面积，由村委会向农民进行二次分配，让农民分享农产品加工和流通环节的利润。</w:t>
      </w:r>
      <w:bookmarkStart w:id="280" w:name="_Toc32512"/>
      <w:bookmarkStart w:id="281" w:name="_Toc16932"/>
      <w:bookmarkStart w:id="282" w:name="_Toc19824"/>
    </w:p>
    <w:p w14:paraId="0D705495">
      <w:pPr>
        <w:pStyle w:val="3"/>
        <w:keepNext/>
        <w:pageBreakBefore w:val="0"/>
        <w:spacing w:before="0" w:beforeLines="-2147483648" w:after="0" w:afterLines="-2147483648" w:line="360" w:lineRule="auto"/>
        <w:ind w:firstLine="640" w:firstLineChars="200"/>
        <w:jc w:val="both"/>
        <w:rPr>
          <w:rFonts w:hint="eastAsia" w:ascii="Times New Roman" w:hAnsi="Times New Roman" w:cs="Times New Roman"/>
          <w:b w:val="0"/>
          <w:bCs/>
          <w:color w:val="auto"/>
          <w:szCs w:val="44"/>
          <w:highlight w:val="none"/>
          <w:lang w:val="en-US" w:eastAsia="zh-CN"/>
        </w:rPr>
      </w:pPr>
      <w:bookmarkStart w:id="283" w:name="_Toc16144"/>
      <w:bookmarkStart w:id="284" w:name="_Toc7664"/>
      <w:bookmarkStart w:id="285" w:name="_Toc17167"/>
      <w:bookmarkStart w:id="286" w:name="_Toc25205"/>
      <w:r>
        <w:rPr>
          <w:rFonts w:hint="eastAsia" w:ascii="Times New Roman" w:hAnsi="Times New Roman" w:cs="Times New Roman"/>
          <w:b w:val="0"/>
          <w:bCs/>
          <w:color w:val="auto"/>
          <w:szCs w:val="44"/>
          <w:highlight w:val="none"/>
          <w:lang w:val="en-US" w:eastAsia="zh-CN"/>
        </w:rPr>
        <w:t>十、</w:t>
      </w:r>
      <w:bookmarkEnd w:id="280"/>
      <w:bookmarkEnd w:id="281"/>
      <w:bookmarkEnd w:id="282"/>
      <w:bookmarkEnd w:id="283"/>
      <w:bookmarkEnd w:id="284"/>
      <w:bookmarkEnd w:id="285"/>
      <w:r>
        <w:rPr>
          <w:rFonts w:hint="eastAsia" w:ascii="Times New Roman" w:hAnsi="Times New Roman" w:cs="Times New Roman"/>
          <w:b w:val="0"/>
          <w:bCs/>
          <w:color w:val="auto"/>
          <w:szCs w:val="44"/>
          <w:highlight w:val="none"/>
          <w:lang w:val="en-US" w:eastAsia="zh-CN"/>
        </w:rPr>
        <w:t>支持政策</w:t>
      </w:r>
      <w:bookmarkEnd w:id="286"/>
    </w:p>
    <w:p w14:paraId="3AF75F93">
      <w:pPr>
        <w:keepNext w:val="0"/>
        <w:keepLines w:val="0"/>
        <w:pageBreakBefore w:val="0"/>
        <w:widowControl w:val="0"/>
        <w:kinsoku/>
        <w:wordWrap/>
        <w:overflowPunct/>
        <w:topLinePunct w:val="0"/>
        <w:autoSpaceDE/>
        <w:autoSpaceDN/>
        <w:bidi w:val="0"/>
        <w:adjustRightInd/>
        <w:snapToGrid/>
        <w:spacing w:line="590" w:lineRule="exact"/>
        <w:ind w:firstLine="600"/>
        <w:textAlignment w:val="auto"/>
        <w:rPr>
          <w:rFonts w:hint="default" w:ascii="Times New Roman" w:hAnsi="Times New Roman"/>
          <w:color w:val="auto"/>
          <w:highlight w:val="none"/>
          <w:lang w:val="en-US" w:eastAsia="zh-CN"/>
        </w:rPr>
      </w:pPr>
      <w:bookmarkStart w:id="287" w:name="_Toc743"/>
      <w:bookmarkStart w:id="288" w:name="_Toc31771"/>
      <w:bookmarkStart w:id="289" w:name="_Toc1741"/>
      <w:bookmarkStart w:id="290" w:name="_Toc15849"/>
      <w:bookmarkStart w:id="291" w:name="_Toc3443"/>
      <w:bookmarkStart w:id="292" w:name="_Toc2918"/>
      <w:r>
        <w:rPr>
          <w:rFonts w:hint="eastAsia" w:ascii="Times New Roman" w:hAnsi="Times New Roman"/>
          <w:color w:val="auto"/>
          <w:highlight w:val="none"/>
          <w:lang w:val="en-US" w:eastAsia="zh-CN"/>
        </w:rPr>
        <w:t>狮头鹅</w:t>
      </w:r>
      <w:r>
        <w:rPr>
          <w:rFonts w:ascii="Times New Roman" w:hAnsi="Times New Roman"/>
          <w:color w:val="auto"/>
          <w:highlight w:val="none"/>
        </w:rPr>
        <w:t>产业的健康发展有赖于政府的政策引导和支持</w:t>
      </w:r>
      <w:r>
        <w:rPr>
          <w:rFonts w:hint="eastAsia" w:ascii="Times New Roman" w:hAnsi="Times New Roman"/>
          <w:color w:val="auto"/>
          <w:highlight w:val="none"/>
        </w:rPr>
        <w:t>，</w:t>
      </w:r>
      <w:r>
        <w:rPr>
          <w:rFonts w:hint="eastAsia" w:ascii="Times New Roman" w:hAnsi="Times New Roman"/>
          <w:color w:val="auto"/>
          <w:highlight w:val="none"/>
          <w:lang w:val="en-US" w:eastAsia="zh-CN"/>
        </w:rPr>
        <w:t>以《澄海区狮头鹅产业高质量发展规划2023-2027年》上位规划为引领，进一步贯彻落实《汕头市加快推进狮头鹅产业发展实施方案》，深入推动实施《澄海区狮头鹅“五年百亿”发展行动纲要》《汕头市澄海区关于扶持狮头鹅产业发展的若干措施》相关产业支持政策。</w:t>
      </w:r>
      <w:r>
        <w:rPr>
          <w:rFonts w:hint="eastAsia" w:ascii="Times New Roman" w:hAnsi="Times New Roman"/>
          <w:b w:val="0"/>
          <w:bCs w:val="0"/>
          <w:color w:val="auto"/>
          <w:highlight w:val="none"/>
          <w:lang w:val="en-US" w:eastAsia="zh-CN"/>
        </w:rPr>
        <w:t>在此基础上，针对国家产业园建设将印发实施《澄海区支持国家现代农业产业园建设的政策措施》，</w:t>
      </w:r>
      <w:r>
        <w:rPr>
          <w:rFonts w:hint="eastAsia" w:ascii="Times New Roman" w:hAnsi="Times New Roman"/>
          <w:color w:val="auto"/>
          <w:highlight w:val="none"/>
          <w:lang w:val="en-US" w:eastAsia="zh-CN"/>
        </w:rPr>
        <w:t>在用地保障、加大财政和金融支持力度、落实税费减免、科技创新、人才支撑等方面给予扶持，实现狮头鹅产业发展扶持政策与产业园支持政策双保障。具体如下：</w:t>
      </w:r>
    </w:p>
    <w:p w14:paraId="3ADA10CB">
      <w:pPr>
        <w:pStyle w:val="4"/>
        <w:keepNext w:val="0"/>
        <w:keepLines/>
        <w:pageBreakBefore w:val="0"/>
        <w:widowControl/>
        <w:kinsoku/>
        <w:wordWrap/>
        <w:overflowPunct/>
        <w:topLinePunct w:val="0"/>
        <w:autoSpaceDE/>
        <w:autoSpaceDN/>
        <w:bidi w:val="0"/>
        <w:adjustRightInd/>
        <w:snapToGrid/>
        <w:spacing w:line="590" w:lineRule="exact"/>
        <w:ind w:firstLine="643" w:firstLineChars="200"/>
        <w:textAlignment w:val="auto"/>
        <w:outlineLvl w:val="1"/>
        <w:rPr>
          <w:rFonts w:hint="eastAsia" w:ascii="Times New Roman" w:hAnsi="Times New Roman" w:eastAsia="楷体_GB2312" w:cs="楷体_GB2312"/>
          <w:b/>
          <w:bCs w:val="0"/>
          <w:color w:val="auto"/>
          <w:highlight w:val="none"/>
          <w:lang w:val="en-US" w:eastAsia="zh-CN"/>
        </w:rPr>
      </w:pPr>
      <w:bookmarkStart w:id="293" w:name="_Toc29446"/>
      <w:bookmarkStart w:id="294" w:name="_Toc20355"/>
      <w:r>
        <w:rPr>
          <w:rFonts w:hint="eastAsia" w:ascii="Times New Roman" w:hAnsi="Times New Roman" w:eastAsia="楷体_GB2312" w:cs="楷体_GB2312"/>
          <w:b/>
          <w:bCs w:val="0"/>
          <w:color w:val="auto"/>
          <w:highlight w:val="none"/>
          <w:lang w:val="en-US" w:eastAsia="zh-CN"/>
        </w:rPr>
        <w:t>（一）加强用地保障</w:t>
      </w:r>
      <w:bookmarkEnd w:id="293"/>
      <w:bookmarkEnd w:id="294"/>
    </w:p>
    <w:p w14:paraId="533E2F8E">
      <w:pPr>
        <w:pStyle w:val="4"/>
        <w:pageBreakBefore w:val="0"/>
        <w:kinsoku/>
        <w:overflowPunct/>
        <w:topLinePunct w:val="0"/>
        <w:autoSpaceDE/>
        <w:autoSpaceDN/>
        <w:bidi w:val="0"/>
        <w:adjustRightInd/>
        <w:snapToGrid/>
        <w:spacing w:line="240" w:lineRule="auto"/>
        <w:ind w:firstLine="643"/>
        <w:rPr>
          <w:rFonts w:hint="eastAsia" w:ascii="Times New Roman" w:hAnsi="Times New Roman" w:cs="仿宋_GB2312"/>
          <w:color w:val="auto"/>
          <w:sz w:val="32"/>
          <w:szCs w:val="32"/>
          <w:highlight w:val="none"/>
          <w:lang w:val="en-US" w:eastAsia="zh-CN"/>
        </w:rPr>
      </w:pPr>
      <w:r>
        <w:rPr>
          <w:rFonts w:hint="default" w:ascii="Times New Roman" w:hAnsi="Times New Roman" w:cs="仿宋_GB2312"/>
          <w:color w:val="auto"/>
          <w:sz w:val="32"/>
          <w:szCs w:val="32"/>
          <w:highlight w:val="none"/>
          <w:lang w:val="en-US" w:eastAsia="zh-CN"/>
        </w:rPr>
        <w:t>1.</w:t>
      </w:r>
      <w:r>
        <w:rPr>
          <w:rFonts w:hint="eastAsia" w:ascii="Times New Roman" w:hAnsi="Times New Roman" w:cs="仿宋_GB2312"/>
          <w:color w:val="auto"/>
          <w:sz w:val="32"/>
          <w:szCs w:val="32"/>
          <w:highlight w:val="none"/>
          <w:lang w:val="en-US" w:eastAsia="zh-CN"/>
        </w:rPr>
        <w:t>优先安排园区建设用地</w:t>
      </w:r>
    </w:p>
    <w:p w14:paraId="476300DC">
      <w:pPr>
        <w:rPr>
          <w:rFonts w:hint="eastAsia" w:ascii="Times New Roman" w:hAnsi="Times New Roman" w:eastAsia="仿宋_GB2312" w:cs="Times New Roman"/>
          <w:i w:val="0"/>
          <w:caps w:val="0"/>
          <w:color w:val="auto"/>
          <w:spacing w:val="0"/>
          <w:sz w:val="32"/>
          <w:szCs w:val="32"/>
          <w:highlight w:val="none"/>
          <w:lang w:eastAsia="zh-CN"/>
        </w:rPr>
      </w:pPr>
      <w:r>
        <w:rPr>
          <w:rFonts w:hint="default" w:ascii="Times New Roman" w:hAnsi="Times New Roman" w:eastAsia="仿宋_GB2312" w:cs="Times New Roman"/>
          <w:b w:val="0"/>
          <w:bCs w:val="0"/>
          <w:i w:val="0"/>
          <w:caps w:val="0"/>
          <w:color w:val="auto"/>
          <w:spacing w:val="0"/>
          <w:sz w:val="32"/>
          <w:szCs w:val="32"/>
          <w:highlight w:val="none"/>
        </w:rPr>
        <w:t>采取“点状”供地模式支持农业产业园建设，优先解决</w:t>
      </w:r>
      <w:r>
        <w:rPr>
          <w:rFonts w:hint="eastAsia" w:ascii="Times New Roman" w:hAnsi="Times New Roman" w:cs="Times New Roman"/>
          <w:b w:val="0"/>
          <w:bCs w:val="0"/>
          <w:i w:val="0"/>
          <w:caps w:val="0"/>
          <w:color w:val="auto"/>
          <w:spacing w:val="0"/>
          <w:sz w:val="32"/>
          <w:szCs w:val="32"/>
          <w:highlight w:val="none"/>
          <w:lang w:val="en-US" w:eastAsia="zh-CN"/>
        </w:rPr>
        <w:t>2个以上</w:t>
      </w:r>
      <w:r>
        <w:rPr>
          <w:rFonts w:hint="default" w:ascii="Times New Roman" w:hAnsi="Times New Roman" w:eastAsia="仿宋_GB2312" w:cs="Times New Roman"/>
          <w:b w:val="0"/>
          <w:bCs w:val="0"/>
          <w:i w:val="0"/>
          <w:caps w:val="0"/>
          <w:color w:val="auto"/>
          <w:spacing w:val="0"/>
          <w:sz w:val="32"/>
          <w:szCs w:val="32"/>
          <w:highlight w:val="none"/>
        </w:rPr>
        <w:t>带动能力强的新型农业经营主体的建设用地指标</w:t>
      </w:r>
      <w:r>
        <w:rPr>
          <w:rFonts w:hint="eastAsia" w:ascii="Times New Roman" w:hAnsi="Times New Roman" w:cs="Times New Roman"/>
          <w:b w:val="0"/>
          <w:bCs w:val="0"/>
          <w:i w:val="0"/>
          <w:caps w:val="0"/>
          <w:color w:val="auto"/>
          <w:spacing w:val="0"/>
          <w:sz w:val="32"/>
          <w:szCs w:val="32"/>
          <w:highlight w:val="none"/>
          <w:lang w:eastAsia="zh-CN"/>
        </w:rPr>
        <w:t>。</w:t>
      </w:r>
      <w:r>
        <w:rPr>
          <w:rFonts w:hint="default" w:ascii="Times New Roman" w:hAnsi="Times New Roman" w:eastAsia="仿宋_GB2312" w:cs="Times New Roman"/>
          <w:i w:val="0"/>
          <w:caps w:val="0"/>
          <w:color w:val="auto"/>
          <w:spacing w:val="0"/>
          <w:sz w:val="32"/>
          <w:szCs w:val="32"/>
          <w:highlight w:val="none"/>
        </w:rPr>
        <w:t>将农业产业园建设用地纳入预留城乡建设用地规模的使用范畴，在符合国土空间规划（村庄规划）的前提下，明确建设用地新增指标向农业产业园倾斜</w:t>
      </w:r>
      <w:r>
        <w:rPr>
          <w:rFonts w:hint="eastAsia" w:ascii="Times New Roman" w:hAnsi="Times New Roman" w:cs="Times New Roman"/>
          <w:i w:val="0"/>
          <w:caps w:val="0"/>
          <w:color w:val="auto"/>
          <w:spacing w:val="0"/>
          <w:sz w:val="32"/>
          <w:szCs w:val="32"/>
          <w:highlight w:val="none"/>
          <w:lang w:eastAsia="zh-CN"/>
        </w:rPr>
        <w:t>。</w:t>
      </w:r>
    </w:p>
    <w:p w14:paraId="4499AE4E">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 w:val="32"/>
          <w:szCs w:val="32"/>
          <w:highlight w:val="none"/>
          <w:lang w:val="en-US" w:eastAsia="zh-CN"/>
        </w:rPr>
      </w:pPr>
      <w:r>
        <w:rPr>
          <w:rFonts w:hint="default" w:ascii="Times New Roman" w:hAnsi="Times New Roman" w:cs="仿宋_GB2312"/>
          <w:color w:val="auto"/>
          <w:sz w:val="32"/>
          <w:szCs w:val="32"/>
          <w:highlight w:val="none"/>
          <w:lang w:val="en-US" w:eastAsia="zh-CN"/>
        </w:rPr>
        <w:t>2.推进农业用地流转政策</w:t>
      </w:r>
    </w:p>
    <w:p w14:paraId="3B292B42">
      <w:pPr>
        <w:rPr>
          <w:rFonts w:hint="default" w:ascii="Times New Roman" w:hAnsi="Times New Roman" w:eastAsia="仿宋_GB2312" w:cstheme="minorBidi"/>
          <w:b/>
          <w:bCs/>
          <w:i w:val="0"/>
          <w:caps w:val="0"/>
          <w:color w:val="auto"/>
          <w:spacing w:val="0"/>
          <w:sz w:val="32"/>
          <w:szCs w:val="22"/>
          <w:highlight w:val="none"/>
          <w:lang w:val="en-US" w:eastAsia="zh-CN"/>
        </w:rPr>
      </w:pPr>
      <w:r>
        <w:rPr>
          <w:rFonts w:hint="default" w:ascii="Times New Roman" w:hAnsi="Times New Roman" w:eastAsia="仿宋_GB2312" w:cs="Times New Roman"/>
          <w:i w:val="0"/>
          <w:caps w:val="0"/>
          <w:color w:val="auto"/>
          <w:spacing w:val="0"/>
          <w:sz w:val="32"/>
          <w:szCs w:val="32"/>
          <w:highlight w:val="none"/>
        </w:rPr>
        <w:t>坚持农村基本经营制度，支持农业产业园内建设单位与农业产业园所在农村集体组织按照市场运作、自愿有偿的原则，推进农村土地经营权依法流转和有效利用，农业产业园土地优先向家庭农场、经营大户、合作社和产业龙头企业流转，推进集约化经营</w:t>
      </w:r>
      <w:r>
        <w:rPr>
          <w:rFonts w:hint="eastAsia" w:ascii="Times New Roman" w:hAnsi="Times New Roman" w:cs="Times New Roman"/>
          <w:i w:val="0"/>
          <w:caps w:val="0"/>
          <w:color w:val="auto"/>
          <w:spacing w:val="0"/>
          <w:sz w:val="32"/>
          <w:szCs w:val="32"/>
          <w:highlight w:val="none"/>
          <w:lang w:eastAsia="zh-CN"/>
        </w:rPr>
        <w:t>，</w:t>
      </w:r>
      <w:r>
        <w:rPr>
          <w:rFonts w:hint="eastAsia" w:ascii="Times New Roman" w:hAnsi="Times New Roman" w:cs="Times New Roman"/>
          <w:b w:val="0"/>
          <w:bCs w:val="0"/>
          <w:i w:val="0"/>
          <w:caps w:val="0"/>
          <w:color w:val="auto"/>
          <w:spacing w:val="0"/>
          <w:sz w:val="32"/>
          <w:szCs w:val="32"/>
          <w:highlight w:val="none"/>
          <w:lang w:val="en-US" w:eastAsia="zh-CN"/>
        </w:rPr>
        <w:t>土地流转率达50%以上</w:t>
      </w:r>
      <w:r>
        <w:rPr>
          <w:rFonts w:hint="default" w:ascii="Times New Roman" w:hAnsi="Times New Roman" w:eastAsia="仿宋_GB2312" w:cs="Times New Roman"/>
          <w:b w:val="0"/>
          <w:bCs w:val="0"/>
          <w:i w:val="0"/>
          <w:caps w:val="0"/>
          <w:color w:val="auto"/>
          <w:spacing w:val="0"/>
          <w:sz w:val="32"/>
          <w:szCs w:val="32"/>
          <w:highlight w:val="none"/>
        </w:rPr>
        <w:t>。</w:t>
      </w:r>
    </w:p>
    <w:p w14:paraId="7BF66ADB">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 w:val="32"/>
          <w:szCs w:val="32"/>
          <w:highlight w:val="none"/>
          <w:lang w:val="en-US" w:eastAsia="zh-CN"/>
        </w:rPr>
      </w:pPr>
      <w:r>
        <w:rPr>
          <w:rFonts w:hint="default" w:ascii="Times New Roman" w:hAnsi="Times New Roman" w:cs="仿宋_GB2312"/>
          <w:color w:val="auto"/>
          <w:sz w:val="32"/>
          <w:szCs w:val="32"/>
          <w:highlight w:val="none"/>
          <w:lang w:val="en-US" w:eastAsia="zh-CN"/>
        </w:rPr>
        <w:t>3.优先落实</w:t>
      </w:r>
      <w:r>
        <w:rPr>
          <w:rFonts w:hint="eastAsia" w:ascii="Times New Roman" w:hAnsi="Times New Roman" w:cs="仿宋_GB2312"/>
          <w:color w:val="auto"/>
          <w:sz w:val="32"/>
          <w:szCs w:val="32"/>
          <w:highlight w:val="none"/>
          <w:lang w:val="en-US" w:eastAsia="zh-CN"/>
        </w:rPr>
        <w:t>设施农业</w:t>
      </w:r>
      <w:r>
        <w:rPr>
          <w:rFonts w:hint="default" w:ascii="Times New Roman" w:hAnsi="Times New Roman" w:cs="仿宋_GB2312"/>
          <w:color w:val="auto"/>
          <w:sz w:val="32"/>
          <w:szCs w:val="32"/>
          <w:highlight w:val="none"/>
          <w:lang w:val="en-US" w:eastAsia="zh-CN"/>
        </w:rPr>
        <w:t>用地政策</w:t>
      </w:r>
    </w:p>
    <w:p w14:paraId="124F94FB">
      <w:pPr>
        <w:rPr>
          <w:rFonts w:hint="default" w:ascii="Times New Roman" w:hAnsi="Times New Roman" w:eastAsia="仿宋_GB2312" w:cstheme="minorBidi"/>
          <w:i w:val="0"/>
          <w:caps w:val="0"/>
          <w:color w:val="auto"/>
          <w:spacing w:val="0"/>
          <w:sz w:val="32"/>
          <w:szCs w:val="22"/>
          <w:highlight w:val="none"/>
          <w:lang w:val="en-US" w:eastAsia="zh-CN"/>
        </w:rPr>
      </w:pPr>
      <w:r>
        <w:rPr>
          <w:rFonts w:hint="default" w:ascii="Times New Roman" w:hAnsi="Times New Roman" w:eastAsia="仿宋_GB2312" w:cstheme="minorBidi"/>
          <w:i w:val="0"/>
          <w:caps w:val="0"/>
          <w:color w:val="auto"/>
          <w:spacing w:val="0"/>
          <w:sz w:val="32"/>
          <w:szCs w:val="22"/>
          <w:highlight w:val="none"/>
          <w:lang w:val="en-US" w:eastAsia="zh-CN"/>
        </w:rPr>
        <w:t>在农业产业园内直接用于狮头鹅养殖的设施用地，在符合国家、省规定的用地范围和规模标准前提下，经用地备案并按要求上图入库后，纳入设施农业用地管理。</w:t>
      </w:r>
      <w:r>
        <w:rPr>
          <w:rFonts w:hint="default" w:ascii="Times New Roman" w:hAnsi="Times New Roman" w:eastAsia="仿宋_GB2312" w:cs="Times New Roman"/>
          <w:i w:val="0"/>
          <w:caps w:val="0"/>
          <w:color w:val="auto"/>
          <w:spacing w:val="0"/>
          <w:sz w:val="32"/>
          <w:szCs w:val="32"/>
          <w:highlight w:val="none"/>
        </w:rPr>
        <w:t>认真落实国家、省、市有关设施农业用地优惠政策，</w:t>
      </w:r>
      <w:r>
        <w:rPr>
          <w:rFonts w:hint="eastAsia" w:ascii="Times New Roman" w:hAnsi="Times New Roman" w:eastAsia="仿宋_GB2312" w:cstheme="minorBidi"/>
          <w:i w:val="0"/>
          <w:caps w:val="0"/>
          <w:color w:val="auto"/>
          <w:spacing w:val="0"/>
          <w:sz w:val="32"/>
          <w:szCs w:val="22"/>
          <w:highlight w:val="none"/>
          <w:lang w:val="en-US" w:eastAsia="zh-CN"/>
        </w:rPr>
        <w:t>建设期间，</w:t>
      </w:r>
      <w:r>
        <w:rPr>
          <w:rFonts w:hint="default" w:ascii="Times New Roman" w:hAnsi="Times New Roman" w:eastAsia="仿宋_GB2312" w:cstheme="minorBidi"/>
          <w:i w:val="0"/>
          <w:caps w:val="0"/>
          <w:color w:val="auto"/>
          <w:spacing w:val="0"/>
          <w:sz w:val="32"/>
          <w:szCs w:val="22"/>
          <w:highlight w:val="none"/>
          <w:lang w:val="en-US" w:eastAsia="zh-CN"/>
        </w:rPr>
        <w:t>优先保障园区内农业项目的生产设施及辅助设施用地</w:t>
      </w:r>
      <w:r>
        <w:rPr>
          <w:rFonts w:hint="eastAsia" w:ascii="Times New Roman" w:hAnsi="Times New Roman" w:cstheme="minorBidi"/>
          <w:i w:val="0"/>
          <w:caps w:val="0"/>
          <w:color w:val="auto"/>
          <w:spacing w:val="0"/>
          <w:sz w:val="32"/>
          <w:szCs w:val="22"/>
          <w:highlight w:val="none"/>
          <w:lang w:val="en-US" w:eastAsia="zh-CN"/>
        </w:rPr>
        <w:t>500亩以上</w:t>
      </w:r>
      <w:r>
        <w:rPr>
          <w:rFonts w:hint="default" w:ascii="Times New Roman" w:hAnsi="Times New Roman" w:eastAsia="仿宋_GB2312" w:cstheme="minorBidi"/>
          <w:i w:val="0"/>
          <w:caps w:val="0"/>
          <w:color w:val="auto"/>
          <w:spacing w:val="0"/>
          <w:sz w:val="32"/>
          <w:szCs w:val="22"/>
          <w:highlight w:val="none"/>
          <w:lang w:val="en-US" w:eastAsia="zh-CN"/>
        </w:rPr>
        <w:t>。</w:t>
      </w:r>
    </w:p>
    <w:p w14:paraId="53F8DD54">
      <w:pPr>
        <w:pStyle w:val="4"/>
        <w:keepNext w:val="0"/>
        <w:keepLines/>
        <w:pageBreakBefore w:val="0"/>
        <w:widowControl/>
        <w:kinsoku/>
        <w:wordWrap/>
        <w:overflowPunct/>
        <w:topLinePunct w:val="0"/>
        <w:autoSpaceDE/>
        <w:autoSpaceDN/>
        <w:bidi w:val="0"/>
        <w:adjustRightInd/>
        <w:snapToGrid/>
        <w:spacing w:line="590" w:lineRule="exact"/>
        <w:ind w:firstLine="643" w:firstLineChars="200"/>
        <w:textAlignment w:val="auto"/>
        <w:outlineLvl w:val="1"/>
        <w:rPr>
          <w:rFonts w:hint="eastAsia" w:ascii="Times New Roman" w:hAnsi="Times New Roman" w:eastAsia="楷体_GB2312" w:cs="楷体_GB2312"/>
          <w:b/>
          <w:bCs w:val="0"/>
          <w:color w:val="auto"/>
          <w:highlight w:val="none"/>
          <w:lang w:val="en-US" w:eastAsia="zh-CN"/>
        </w:rPr>
      </w:pPr>
      <w:bookmarkStart w:id="295" w:name="_Toc16374"/>
      <w:bookmarkStart w:id="296" w:name="_Toc6626"/>
      <w:r>
        <w:rPr>
          <w:rFonts w:hint="eastAsia" w:ascii="Times New Roman" w:hAnsi="Times New Roman" w:eastAsia="楷体_GB2312" w:cs="楷体_GB2312"/>
          <w:b/>
          <w:bCs w:val="0"/>
          <w:color w:val="auto"/>
          <w:highlight w:val="none"/>
          <w:lang w:val="en-US" w:eastAsia="zh-CN"/>
        </w:rPr>
        <w:t>（二）加大财政和金融支持力度</w:t>
      </w:r>
      <w:bookmarkEnd w:id="295"/>
      <w:bookmarkEnd w:id="296"/>
    </w:p>
    <w:p w14:paraId="5CDCEB1C">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 w:val="32"/>
          <w:szCs w:val="32"/>
          <w:highlight w:val="none"/>
          <w:lang w:val="en-US" w:eastAsia="zh-CN"/>
        </w:rPr>
      </w:pPr>
      <w:r>
        <w:rPr>
          <w:rFonts w:hint="default" w:ascii="Times New Roman" w:hAnsi="Times New Roman" w:cs="仿宋_GB2312"/>
          <w:color w:val="auto"/>
          <w:sz w:val="32"/>
          <w:szCs w:val="32"/>
          <w:highlight w:val="none"/>
          <w:lang w:val="en-US" w:eastAsia="zh-CN"/>
        </w:rPr>
        <w:t>1.加大资金整合力度</w:t>
      </w:r>
    </w:p>
    <w:p w14:paraId="772DD922">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left"/>
        <w:textAlignment w:val="auto"/>
        <w:rPr>
          <w:rFonts w:hint="default" w:ascii="Times New Roman" w:hAnsi="Times New Roman" w:eastAsia="仿宋_GB2312" w:cs="Times New Roman"/>
          <w:i w:val="0"/>
          <w:caps w:val="0"/>
          <w:color w:val="auto"/>
          <w:spacing w:val="0"/>
          <w:sz w:val="32"/>
          <w:szCs w:val="32"/>
          <w:highlight w:val="none"/>
        </w:rPr>
      </w:pPr>
      <w:r>
        <w:rPr>
          <w:rFonts w:hint="default" w:ascii="Times New Roman" w:hAnsi="Times New Roman" w:eastAsia="仿宋_GB2312" w:cs="Times New Roman"/>
          <w:b w:val="0"/>
          <w:bCs w:val="0"/>
          <w:i w:val="0"/>
          <w:caps w:val="0"/>
          <w:color w:val="auto"/>
          <w:spacing w:val="0"/>
          <w:sz w:val="32"/>
          <w:szCs w:val="32"/>
          <w:highlight w:val="none"/>
        </w:rPr>
        <w:t>除中央、省、市有严格要求、明确使用规定的</w:t>
      </w:r>
      <w:r>
        <w:rPr>
          <w:rFonts w:hint="eastAsia" w:ascii="Times New Roman" w:hAnsi="Times New Roman" w:cs="Times New Roman"/>
          <w:b w:val="0"/>
          <w:bCs w:val="0"/>
          <w:i w:val="0"/>
          <w:caps w:val="0"/>
          <w:color w:val="auto"/>
          <w:spacing w:val="0"/>
          <w:sz w:val="32"/>
          <w:szCs w:val="32"/>
          <w:highlight w:val="none"/>
          <w:lang w:val="en-US" w:eastAsia="zh-CN"/>
        </w:rPr>
        <w:t>支农</w:t>
      </w:r>
      <w:r>
        <w:rPr>
          <w:rFonts w:hint="default" w:ascii="Times New Roman" w:hAnsi="Times New Roman" w:eastAsia="仿宋_GB2312" w:cs="Times New Roman"/>
          <w:b w:val="0"/>
          <w:bCs w:val="0"/>
          <w:i w:val="0"/>
          <w:caps w:val="0"/>
          <w:color w:val="auto"/>
          <w:spacing w:val="0"/>
          <w:sz w:val="32"/>
          <w:szCs w:val="32"/>
          <w:highlight w:val="none"/>
        </w:rPr>
        <w:t>资金外，其他资金优先向农业产业园整合使用。</w:t>
      </w:r>
      <w:r>
        <w:rPr>
          <w:rFonts w:hint="eastAsia" w:ascii="Times New Roman" w:hAnsi="Times New Roman" w:cs="Times New Roman"/>
          <w:b w:val="0"/>
          <w:bCs w:val="0"/>
          <w:i w:val="0"/>
          <w:caps w:val="0"/>
          <w:color w:val="auto"/>
          <w:spacing w:val="0"/>
          <w:sz w:val="32"/>
          <w:szCs w:val="32"/>
          <w:highlight w:val="none"/>
          <w:lang w:val="en-US" w:eastAsia="zh-CN"/>
        </w:rPr>
        <w:t>落实《澄海区“政银保”合作农业贷款实施办法》</w:t>
      </w:r>
      <w:r>
        <w:rPr>
          <w:rFonts w:hint="eastAsia" w:ascii="Times New Roman" w:hAnsi="Times New Roman" w:cs="Times New Roman"/>
          <w:b w:val="0"/>
          <w:bCs w:val="0"/>
          <w:i w:val="0"/>
          <w:caps w:val="0"/>
          <w:color w:val="auto"/>
          <w:spacing w:val="0"/>
          <w:sz w:val="32"/>
          <w:szCs w:val="32"/>
          <w:highlight w:val="none"/>
          <w:lang w:eastAsia="zh-CN"/>
        </w:rPr>
        <w:t>，</w:t>
      </w:r>
      <w:r>
        <w:rPr>
          <w:rFonts w:hint="default" w:ascii="Times New Roman" w:hAnsi="Times New Roman" w:eastAsia="仿宋_GB2312" w:cs="Times New Roman"/>
          <w:b w:val="0"/>
          <w:bCs w:val="0"/>
          <w:i w:val="0"/>
          <w:caps w:val="0"/>
          <w:color w:val="auto"/>
          <w:spacing w:val="0"/>
          <w:sz w:val="32"/>
          <w:szCs w:val="32"/>
          <w:highlight w:val="none"/>
        </w:rPr>
        <w:t>不</w:t>
      </w:r>
      <w:r>
        <w:rPr>
          <w:rFonts w:hint="default" w:ascii="Times New Roman" w:hAnsi="Times New Roman" w:eastAsia="仿宋_GB2312" w:cs="Times New Roman"/>
          <w:i w:val="0"/>
          <w:caps w:val="0"/>
          <w:color w:val="auto"/>
          <w:spacing w:val="0"/>
          <w:sz w:val="32"/>
          <w:szCs w:val="32"/>
          <w:highlight w:val="none"/>
        </w:rPr>
        <w:t>断完善投融资体系，鼓励各类金融机构推进融资性担保业务，为农业产业园</w:t>
      </w:r>
      <w:r>
        <w:rPr>
          <w:rFonts w:hint="eastAsia" w:ascii="Times New Roman" w:hAnsi="Times New Roman" w:cs="Times New Roman"/>
          <w:i w:val="0"/>
          <w:caps w:val="0"/>
          <w:color w:val="auto"/>
          <w:spacing w:val="0"/>
          <w:sz w:val="32"/>
          <w:szCs w:val="32"/>
          <w:highlight w:val="none"/>
          <w:lang w:val="en-US" w:eastAsia="zh-CN"/>
        </w:rPr>
        <w:t>建设</w:t>
      </w:r>
      <w:r>
        <w:rPr>
          <w:rFonts w:hint="default" w:ascii="Times New Roman" w:hAnsi="Times New Roman" w:eastAsia="仿宋_GB2312" w:cs="Times New Roman"/>
          <w:i w:val="0"/>
          <w:caps w:val="0"/>
          <w:color w:val="auto"/>
          <w:spacing w:val="0"/>
          <w:sz w:val="32"/>
          <w:szCs w:val="32"/>
          <w:highlight w:val="none"/>
        </w:rPr>
        <w:t>提供政策性融资担保，增加农业产业园资金注入渠道。</w:t>
      </w:r>
    </w:p>
    <w:p w14:paraId="2F9A11EA">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 w:val="32"/>
          <w:szCs w:val="32"/>
          <w:highlight w:val="none"/>
          <w:lang w:val="en-US" w:eastAsia="zh-CN"/>
        </w:rPr>
      </w:pPr>
      <w:r>
        <w:rPr>
          <w:rFonts w:hint="default" w:ascii="Times New Roman" w:hAnsi="Times New Roman" w:cs="仿宋_GB2312"/>
          <w:color w:val="auto"/>
          <w:sz w:val="32"/>
          <w:szCs w:val="32"/>
          <w:highlight w:val="none"/>
          <w:lang w:val="en-US" w:eastAsia="zh-CN"/>
        </w:rPr>
        <w:t>2.全面优化园区金融服务</w:t>
      </w:r>
    </w:p>
    <w:p w14:paraId="33CB20B9">
      <w:pPr>
        <w:keepNext w:val="0"/>
        <w:keepLines w:val="0"/>
        <w:pageBreakBefore w:val="0"/>
        <w:widowControl w:val="0"/>
        <w:kinsoku/>
        <w:wordWrap/>
        <w:overflowPunct/>
        <w:topLinePunct w:val="0"/>
        <w:autoSpaceDE/>
        <w:autoSpaceDN/>
        <w:bidi w:val="0"/>
        <w:adjustRightInd/>
        <w:snapToGrid/>
        <w:spacing w:line="590" w:lineRule="exact"/>
        <w:ind w:firstLine="640"/>
        <w:textAlignment w:val="auto"/>
        <w:rPr>
          <w:rFonts w:hint="default" w:ascii="Times New Roman" w:hAnsi="Times New Roman" w:eastAsia="仿宋_GB2312" w:cs="Times New Roman"/>
          <w:i w:val="0"/>
          <w:caps w:val="0"/>
          <w:color w:val="auto"/>
          <w:spacing w:val="0"/>
          <w:sz w:val="32"/>
          <w:szCs w:val="32"/>
          <w:highlight w:val="none"/>
        </w:rPr>
      </w:pPr>
      <w:r>
        <w:rPr>
          <w:rFonts w:hint="eastAsia" w:ascii="Times New Roman" w:hAnsi="Times New Roman" w:cs="Times New Roman"/>
          <w:i w:val="0"/>
          <w:caps w:val="0"/>
          <w:color w:val="auto"/>
          <w:spacing w:val="0"/>
          <w:sz w:val="32"/>
          <w:szCs w:val="32"/>
          <w:highlight w:val="none"/>
          <w:lang w:val="en-US" w:eastAsia="zh-CN"/>
        </w:rPr>
        <w:t>协调金融机构</w:t>
      </w:r>
      <w:r>
        <w:rPr>
          <w:rFonts w:hint="default" w:ascii="Times New Roman" w:hAnsi="Times New Roman" w:eastAsia="仿宋_GB2312" w:cs="Times New Roman"/>
          <w:i w:val="0"/>
          <w:caps w:val="0"/>
          <w:color w:val="auto"/>
          <w:spacing w:val="0"/>
          <w:sz w:val="32"/>
          <w:szCs w:val="32"/>
          <w:highlight w:val="none"/>
        </w:rPr>
        <w:t>对涵盖现代农业全产业链的生产、仓储、销售、研发、创新等项目提供一揽子综合金融服务，</w:t>
      </w:r>
      <w:r>
        <w:rPr>
          <w:rFonts w:hint="eastAsia" w:ascii="Times New Roman" w:hAnsi="Times New Roman" w:cs="Times New Roman"/>
          <w:b w:val="0"/>
          <w:bCs w:val="0"/>
          <w:i w:val="0"/>
          <w:caps w:val="0"/>
          <w:color w:val="auto"/>
          <w:spacing w:val="0"/>
          <w:sz w:val="32"/>
          <w:szCs w:val="32"/>
          <w:highlight w:val="none"/>
          <w:lang w:val="en-US" w:eastAsia="zh-CN"/>
        </w:rPr>
        <w:t>扩大授信额度，</w:t>
      </w:r>
      <w:r>
        <w:rPr>
          <w:rFonts w:hint="default" w:ascii="Times New Roman" w:hAnsi="Times New Roman" w:eastAsia="仿宋_GB2312" w:cs="Times New Roman"/>
          <w:i w:val="0"/>
          <w:caps w:val="0"/>
          <w:color w:val="auto"/>
          <w:spacing w:val="0"/>
          <w:sz w:val="32"/>
          <w:szCs w:val="32"/>
          <w:highlight w:val="none"/>
        </w:rPr>
        <w:t>开发适合园区和新型主体的信贷产品。</w:t>
      </w:r>
      <w:r>
        <w:rPr>
          <w:rFonts w:hint="eastAsia" w:ascii="Times New Roman" w:hAnsi="Times New Roman" w:cs="Times New Roman"/>
          <w:i w:val="0"/>
          <w:caps w:val="0"/>
          <w:color w:val="auto"/>
          <w:spacing w:val="0"/>
          <w:sz w:val="32"/>
          <w:szCs w:val="32"/>
          <w:highlight w:val="none"/>
          <w:lang w:val="en-US" w:eastAsia="zh-CN"/>
        </w:rPr>
        <w:t>落实汕头市政策性地方特色险种—狮头鹅养殖保险，保障农业生产安全和农产品有效供给，促进农民持续增收。</w:t>
      </w:r>
    </w:p>
    <w:p w14:paraId="2D931141">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 w:val="32"/>
          <w:szCs w:val="32"/>
          <w:highlight w:val="none"/>
          <w:lang w:val="en-US" w:eastAsia="zh-CN"/>
        </w:rPr>
      </w:pPr>
      <w:r>
        <w:rPr>
          <w:rFonts w:hint="eastAsia" w:ascii="Times New Roman" w:hAnsi="Times New Roman" w:cs="仿宋_GB2312"/>
          <w:color w:val="auto"/>
          <w:sz w:val="32"/>
          <w:szCs w:val="32"/>
          <w:highlight w:val="none"/>
          <w:lang w:val="en-US" w:eastAsia="zh-CN"/>
        </w:rPr>
        <w:t>3</w:t>
      </w:r>
      <w:r>
        <w:rPr>
          <w:rFonts w:hint="default" w:ascii="Times New Roman" w:hAnsi="Times New Roman" w:cs="仿宋_GB2312"/>
          <w:color w:val="auto"/>
          <w:sz w:val="32"/>
          <w:szCs w:val="32"/>
          <w:highlight w:val="none"/>
          <w:lang w:val="en-US" w:eastAsia="zh-CN"/>
        </w:rPr>
        <w:t>.加大企业扶持力度</w:t>
      </w:r>
    </w:p>
    <w:p w14:paraId="07B09678">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00"/>
        <w:jc w:val="left"/>
        <w:textAlignment w:val="auto"/>
        <w:rPr>
          <w:rFonts w:hint="default" w:ascii="Times New Roman" w:hAnsi="Times New Roman" w:eastAsia="仿宋_GB2312" w:cs="Times New Roman"/>
          <w:b w:val="0"/>
          <w:bCs w:val="0"/>
          <w:i w:val="0"/>
          <w:caps w:val="0"/>
          <w:color w:val="auto"/>
          <w:spacing w:val="0"/>
          <w:sz w:val="32"/>
          <w:szCs w:val="32"/>
          <w:highlight w:val="none"/>
        </w:rPr>
      </w:pPr>
      <w:r>
        <w:rPr>
          <w:rFonts w:hint="eastAsia" w:ascii="Times New Roman" w:hAnsi="Times New Roman" w:cs="Times New Roman"/>
          <w:b w:val="0"/>
          <w:bCs w:val="0"/>
          <w:i w:val="0"/>
          <w:caps w:val="0"/>
          <w:color w:val="auto"/>
          <w:spacing w:val="0"/>
          <w:sz w:val="32"/>
          <w:szCs w:val="32"/>
          <w:highlight w:val="none"/>
          <w:lang w:val="en-US" w:eastAsia="zh-CN"/>
        </w:rPr>
        <w:t>对于</w:t>
      </w:r>
      <w:r>
        <w:rPr>
          <w:rFonts w:hint="default" w:ascii="Times New Roman" w:hAnsi="Times New Roman" w:eastAsia="仿宋_GB2312" w:cs="Times New Roman"/>
          <w:b w:val="0"/>
          <w:bCs w:val="0"/>
          <w:i w:val="0"/>
          <w:caps w:val="0"/>
          <w:color w:val="auto"/>
          <w:spacing w:val="0"/>
          <w:sz w:val="32"/>
          <w:szCs w:val="32"/>
          <w:highlight w:val="none"/>
        </w:rPr>
        <w:t>产业园区内</w:t>
      </w:r>
      <w:r>
        <w:rPr>
          <w:rFonts w:hint="eastAsia" w:ascii="Times New Roman" w:hAnsi="Times New Roman" w:cs="Times New Roman"/>
          <w:b w:val="0"/>
          <w:bCs w:val="0"/>
          <w:i w:val="0"/>
          <w:caps w:val="0"/>
          <w:color w:val="auto"/>
          <w:spacing w:val="0"/>
          <w:sz w:val="32"/>
          <w:szCs w:val="32"/>
          <w:highlight w:val="none"/>
          <w:lang w:val="en-US" w:eastAsia="zh-CN"/>
        </w:rPr>
        <w:t>农业</w:t>
      </w:r>
      <w:r>
        <w:rPr>
          <w:rFonts w:hint="default" w:ascii="Times New Roman" w:hAnsi="Times New Roman" w:eastAsia="仿宋_GB2312" w:cs="Times New Roman"/>
          <w:b w:val="0"/>
          <w:bCs w:val="0"/>
          <w:i w:val="0"/>
          <w:caps w:val="0"/>
          <w:color w:val="auto"/>
          <w:spacing w:val="0"/>
          <w:sz w:val="32"/>
          <w:szCs w:val="32"/>
          <w:highlight w:val="none"/>
        </w:rPr>
        <w:t>企业，符合</w:t>
      </w:r>
      <w:r>
        <w:rPr>
          <w:rFonts w:hint="eastAsia" w:ascii="Times New Roman" w:hAnsi="Times New Roman" w:cs="Times New Roman"/>
          <w:b w:val="0"/>
          <w:bCs w:val="0"/>
          <w:i w:val="0"/>
          <w:caps w:val="0"/>
          <w:color w:val="auto"/>
          <w:spacing w:val="0"/>
          <w:sz w:val="32"/>
          <w:szCs w:val="32"/>
          <w:highlight w:val="none"/>
          <w:lang w:val="en-US" w:eastAsia="zh-CN"/>
        </w:rPr>
        <w:t>条件的</w:t>
      </w:r>
      <w:r>
        <w:rPr>
          <w:rFonts w:hint="default" w:ascii="Times New Roman" w:hAnsi="Times New Roman" w:eastAsia="仿宋_GB2312" w:cs="Times New Roman"/>
          <w:b w:val="0"/>
          <w:bCs w:val="0"/>
          <w:i w:val="0"/>
          <w:caps w:val="0"/>
          <w:color w:val="auto"/>
          <w:spacing w:val="0"/>
          <w:sz w:val="32"/>
          <w:szCs w:val="32"/>
          <w:highlight w:val="none"/>
        </w:rPr>
        <w:t>，</w:t>
      </w:r>
      <w:r>
        <w:rPr>
          <w:rFonts w:hint="eastAsia" w:ascii="Times New Roman" w:hAnsi="Times New Roman" w:cs="Times New Roman"/>
          <w:b w:val="0"/>
          <w:bCs w:val="0"/>
          <w:i w:val="0"/>
          <w:caps w:val="0"/>
          <w:color w:val="auto"/>
          <w:spacing w:val="0"/>
          <w:sz w:val="32"/>
          <w:szCs w:val="32"/>
          <w:highlight w:val="none"/>
          <w:lang w:val="en-US" w:eastAsia="zh-CN"/>
        </w:rPr>
        <w:t>每年</w:t>
      </w:r>
      <w:r>
        <w:rPr>
          <w:rFonts w:hint="default" w:ascii="Times New Roman" w:hAnsi="Times New Roman" w:eastAsia="仿宋_GB2312" w:cs="Times New Roman"/>
          <w:b w:val="0"/>
          <w:bCs w:val="0"/>
          <w:i w:val="0"/>
          <w:caps w:val="0"/>
          <w:color w:val="auto"/>
          <w:spacing w:val="0"/>
          <w:sz w:val="32"/>
          <w:szCs w:val="32"/>
          <w:highlight w:val="none"/>
        </w:rPr>
        <w:t>优先列为</w:t>
      </w:r>
      <w:r>
        <w:rPr>
          <w:rFonts w:hint="default" w:ascii="Times New Roman" w:hAnsi="Times New Roman" w:eastAsia="仿宋_GB2312" w:cs="Times New Roman"/>
          <w:b w:val="0"/>
          <w:bCs w:val="0"/>
          <w:i w:val="0"/>
          <w:caps w:val="0"/>
          <w:color w:val="auto"/>
          <w:spacing w:val="0"/>
          <w:sz w:val="32"/>
          <w:szCs w:val="32"/>
          <w:highlight w:val="none"/>
          <w:lang w:val="en-US" w:eastAsia="zh-CN"/>
        </w:rPr>
        <w:t>相应等级的</w:t>
      </w:r>
      <w:r>
        <w:rPr>
          <w:rFonts w:hint="default" w:ascii="Times New Roman" w:hAnsi="Times New Roman" w:eastAsia="仿宋_GB2312" w:cs="Times New Roman"/>
          <w:b w:val="0"/>
          <w:bCs w:val="0"/>
          <w:i w:val="0"/>
          <w:caps w:val="0"/>
          <w:color w:val="auto"/>
          <w:spacing w:val="0"/>
          <w:sz w:val="32"/>
          <w:szCs w:val="32"/>
          <w:highlight w:val="none"/>
        </w:rPr>
        <w:t>农业龙头企业</w:t>
      </w:r>
      <w:r>
        <w:rPr>
          <w:rFonts w:hint="eastAsia" w:ascii="Times New Roman" w:hAnsi="Times New Roman" w:cs="Times New Roman"/>
          <w:b w:val="0"/>
          <w:bCs w:val="0"/>
          <w:i w:val="0"/>
          <w:caps w:val="0"/>
          <w:color w:val="auto"/>
          <w:spacing w:val="0"/>
          <w:sz w:val="32"/>
          <w:szCs w:val="32"/>
          <w:highlight w:val="none"/>
          <w:lang w:val="en-US" w:eastAsia="zh-CN"/>
        </w:rPr>
        <w:t>培育对象2家</w:t>
      </w:r>
      <w:r>
        <w:rPr>
          <w:rFonts w:hint="eastAsia" w:ascii="Times New Roman" w:hAnsi="Times New Roman" w:cs="Times New Roman"/>
          <w:b w:val="0"/>
          <w:bCs w:val="0"/>
          <w:i w:val="0"/>
          <w:caps w:val="0"/>
          <w:color w:val="auto"/>
          <w:spacing w:val="0"/>
          <w:sz w:val="32"/>
          <w:szCs w:val="32"/>
          <w:highlight w:val="none"/>
          <w:lang w:eastAsia="zh-CN"/>
        </w:rPr>
        <w:t>，</w:t>
      </w:r>
      <w:r>
        <w:rPr>
          <w:rFonts w:hint="eastAsia" w:ascii="Times New Roman" w:hAnsi="Times New Roman" w:cs="Times New Roman"/>
          <w:b w:val="0"/>
          <w:bCs w:val="0"/>
          <w:i w:val="0"/>
          <w:caps w:val="0"/>
          <w:color w:val="auto"/>
          <w:spacing w:val="0"/>
          <w:sz w:val="32"/>
          <w:szCs w:val="32"/>
          <w:highlight w:val="none"/>
          <w:lang w:val="en-US" w:eastAsia="zh-CN"/>
        </w:rPr>
        <w:t>并</w:t>
      </w:r>
      <w:r>
        <w:rPr>
          <w:rFonts w:hint="default" w:ascii="Times New Roman" w:hAnsi="Times New Roman" w:eastAsia="仿宋_GB2312" w:cs="Times New Roman"/>
          <w:b w:val="0"/>
          <w:bCs w:val="0"/>
          <w:i w:val="0"/>
          <w:caps w:val="0"/>
          <w:color w:val="auto"/>
          <w:spacing w:val="0"/>
          <w:sz w:val="32"/>
          <w:szCs w:val="32"/>
          <w:highlight w:val="none"/>
        </w:rPr>
        <w:t>享受</w:t>
      </w:r>
      <w:r>
        <w:rPr>
          <w:rFonts w:hint="default" w:ascii="Times New Roman" w:hAnsi="Times New Roman" w:eastAsia="仿宋_GB2312" w:cs="Times New Roman"/>
          <w:b w:val="0"/>
          <w:bCs w:val="0"/>
          <w:i w:val="0"/>
          <w:caps w:val="0"/>
          <w:color w:val="auto"/>
          <w:spacing w:val="0"/>
          <w:sz w:val="32"/>
          <w:szCs w:val="32"/>
          <w:highlight w:val="none"/>
          <w:lang w:val="en-US" w:eastAsia="zh-CN"/>
        </w:rPr>
        <w:t>上级</w:t>
      </w:r>
      <w:r>
        <w:rPr>
          <w:rFonts w:hint="default" w:ascii="Times New Roman" w:hAnsi="Times New Roman" w:eastAsia="仿宋_GB2312" w:cs="Times New Roman"/>
          <w:b w:val="0"/>
          <w:bCs w:val="0"/>
          <w:i w:val="0"/>
          <w:caps w:val="0"/>
          <w:color w:val="auto"/>
          <w:spacing w:val="0"/>
          <w:sz w:val="32"/>
          <w:szCs w:val="32"/>
          <w:highlight w:val="none"/>
        </w:rPr>
        <w:t>农业龙头企业财政资金的扶持政策。</w:t>
      </w:r>
    </w:p>
    <w:p w14:paraId="208A6311">
      <w:pPr>
        <w:pStyle w:val="4"/>
        <w:keepNext w:val="0"/>
        <w:keepLines/>
        <w:pageBreakBefore w:val="0"/>
        <w:widowControl/>
        <w:kinsoku/>
        <w:wordWrap/>
        <w:overflowPunct/>
        <w:topLinePunct w:val="0"/>
        <w:autoSpaceDE/>
        <w:autoSpaceDN/>
        <w:bidi w:val="0"/>
        <w:adjustRightInd/>
        <w:snapToGrid/>
        <w:spacing w:line="590" w:lineRule="exact"/>
        <w:ind w:firstLine="643" w:firstLineChars="200"/>
        <w:textAlignment w:val="auto"/>
        <w:outlineLvl w:val="1"/>
        <w:rPr>
          <w:rFonts w:hint="eastAsia" w:ascii="Times New Roman" w:hAnsi="Times New Roman" w:eastAsia="楷体_GB2312" w:cs="楷体_GB2312"/>
          <w:b/>
          <w:bCs w:val="0"/>
          <w:color w:val="auto"/>
          <w:highlight w:val="none"/>
          <w:lang w:val="en-US" w:eastAsia="zh-CN"/>
        </w:rPr>
      </w:pPr>
      <w:bookmarkStart w:id="297" w:name="_Toc25261"/>
      <w:r>
        <w:rPr>
          <w:rFonts w:hint="eastAsia" w:ascii="Times New Roman" w:hAnsi="Times New Roman" w:eastAsia="楷体_GB2312" w:cs="楷体_GB2312"/>
          <w:b/>
          <w:bCs w:val="0"/>
          <w:color w:val="auto"/>
          <w:highlight w:val="none"/>
          <w:lang w:val="en-US" w:eastAsia="zh-CN"/>
        </w:rPr>
        <w:t>（三）落实税费减免政策</w:t>
      </w:r>
      <w:bookmarkEnd w:id="297"/>
    </w:p>
    <w:p w14:paraId="6EF0F144">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00"/>
        <w:jc w:val="left"/>
        <w:textAlignment w:val="auto"/>
        <w:rPr>
          <w:rFonts w:hint="default" w:ascii="Times New Roman" w:hAnsi="Times New Roman" w:eastAsia="仿宋_GB2312" w:cs="Times New Roman"/>
          <w:i w:val="0"/>
          <w:caps w:val="0"/>
          <w:color w:val="auto"/>
          <w:spacing w:val="0"/>
          <w:sz w:val="32"/>
          <w:szCs w:val="32"/>
          <w:highlight w:val="none"/>
          <w:lang w:val="en-US" w:eastAsia="zh-CN"/>
        </w:rPr>
      </w:pPr>
      <w:r>
        <w:rPr>
          <w:rFonts w:hint="default" w:ascii="Times New Roman" w:hAnsi="Times New Roman" w:eastAsia="仿宋_GB2312" w:cs="Times New Roman"/>
          <w:i w:val="0"/>
          <w:caps w:val="0"/>
          <w:color w:val="auto"/>
          <w:spacing w:val="0"/>
          <w:sz w:val="32"/>
          <w:szCs w:val="32"/>
          <w:highlight w:val="none"/>
          <w:lang w:val="en-US" w:eastAsia="zh-CN"/>
        </w:rPr>
        <w:t>不折不扣落实各项税费优惠政策。对政策实施后纳税人新增符合条件的增值税期末留抵税额，纳税人可以按有关规定申请退还。落实增值税小规模纳税人减免增值税、小型微利企业所得税优惠等政策。落实农产品初加工企业所得税优惠、直接用于农业的生产用地免征城镇土地使用税（指直接从事与种植、养殖、饲养的专业用地，不包括农副产品加工场地和生活、办公用地）等支持农业产业发展的税收优惠政策。</w:t>
      </w:r>
    </w:p>
    <w:p w14:paraId="7A93F4E8">
      <w:pPr>
        <w:pStyle w:val="4"/>
        <w:keepNext w:val="0"/>
        <w:keepLines/>
        <w:pageBreakBefore w:val="0"/>
        <w:widowControl/>
        <w:kinsoku/>
        <w:wordWrap/>
        <w:overflowPunct/>
        <w:topLinePunct w:val="0"/>
        <w:autoSpaceDE/>
        <w:autoSpaceDN/>
        <w:bidi w:val="0"/>
        <w:adjustRightInd/>
        <w:snapToGrid/>
        <w:spacing w:line="590" w:lineRule="exact"/>
        <w:ind w:firstLine="643" w:firstLineChars="200"/>
        <w:textAlignment w:val="auto"/>
        <w:outlineLvl w:val="1"/>
        <w:rPr>
          <w:rFonts w:hint="eastAsia" w:ascii="Times New Roman" w:hAnsi="Times New Roman" w:eastAsia="楷体_GB2312" w:cs="楷体_GB2312"/>
          <w:b/>
          <w:bCs w:val="0"/>
          <w:color w:val="auto"/>
          <w:highlight w:val="none"/>
          <w:lang w:val="en-US" w:eastAsia="zh-CN"/>
        </w:rPr>
      </w:pPr>
      <w:bookmarkStart w:id="298" w:name="_Toc3489"/>
      <w:r>
        <w:rPr>
          <w:rFonts w:hint="eastAsia" w:ascii="Times New Roman" w:hAnsi="Times New Roman" w:eastAsia="楷体_GB2312" w:cs="楷体_GB2312"/>
          <w:b/>
          <w:bCs w:val="0"/>
          <w:color w:val="auto"/>
          <w:highlight w:val="none"/>
          <w:lang w:val="en-US" w:eastAsia="zh-CN"/>
        </w:rPr>
        <w:t>（四）加强流通和品牌建设</w:t>
      </w:r>
      <w:bookmarkEnd w:id="298"/>
    </w:p>
    <w:p w14:paraId="2910E13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640"/>
        <w:jc w:val="left"/>
        <w:textAlignment w:val="auto"/>
        <w:rPr>
          <w:rFonts w:hint="default" w:ascii="Times New Roman" w:hAnsi="Times New Roman" w:eastAsia="仿宋_GB2312" w:cs="Times New Roman"/>
          <w:b w:val="0"/>
          <w:bCs w:val="0"/>
          <w:i w:val="0"/>
          <w:caps w:val="0"/>
          <w:color w:val="auto"/>
          <w:spacing w:val="0"/>
          <w:sz w:val="32"/>
          <w:szCs w:val="32"/>
          <w:highlight w:val="none"/>
        </w:rPr>
      </w:pPr>
      <w:r>
        <w:rPr>
          <w:rFonts w:hint="eastAsia" w:ascii="Times New Roman" w:hAnsi="Times New Roman" w:cs="Times New Roman"/>
          <w:i w:val="0"/>
          <w:caps w:val="0"/>
          <w:color w:val="auto"/>
          <w:spacing w:val="0"/>
          <w:sz w:val="32"/>
          <w:szCs w:val="32"/>
          <w:highlight w:val="none"/>
          <w:lang w:val="en-US" w:eastAsia="zh-CN"/>
        </w:rPr>
        <w:t>1.</w:t>
      </w:r>
      <w:r>
        <w:rPr>
          <w:rFonts w:hint="default" w:ascii="Times New Roman" w:hAnsi="Times New Roman" w:eastAsia="仿宋_GB2312" w:cs="Times New Roman"/>
          <w:i w:val="0"/>
          <w:caps w:val="0"/>
          <w:color w:val="auto"/>
          <w:spacing w:val="0"/>
          <w:sz w:val="32"/>
          <w:szCs w:val="32"/>
          <w:highlight w:val="none"/>
        </w:rPr>
        <w:t>加强农业产业园农产品</w:t>
      </w:r>
      <w:r>
        <w:rPr>
          <w:rFonts w:hint="eastAsia" w:ascii="Times New Roman" w:hAnsi="Times New Roman" w:cs="Times New Roman"/>
          <w:i w:val="0"/>
          <w:caps w:val="0"/>
          <w:color w:val="auto"/>
          <w:spacing w:val="0"/>
          <w:sz w:val="32"/>
          <w:szCs w:val="32"/>
          <w:highlight w:val="none"/>
          <w:lang w:val="en-US" w:eastAsia="zh-CN"/>
        </w:rPr>
        <w:t>冷链仓储</w:t>
      </w:r>
      <w:r>
        <w:rPr>
          <w:rFonts w:hint="default" w:ascii="Times New Roman" w:hAnsi="Times New Roman" w:eastAsia="仿宋_GB2312" w:cs="Times New Roman"/>
          <w:i w:val="0"/>
          <w:caps w:val="0"/>
          <w:color w:val="auto"/>
          <w:spacing w:val="0"/>
          <w:sz w:val="32"/>
          <w:szCs w:val="32"/>
          <w:highlight w:val="none"/>
        </w:rPr>
        <w:t>建设。优先支持鲜活农产品产地分级分拣设施、冷库（含移动冷库）、冷藏保鲜、冷链运输及终端销售项目建设</w:t>
      </w:r>
      <w:r>
        <w:rPr>
          <w:rFonts w:hint="eastAsia" w:ascii="Times New Roman" w:hAnsi="Times New Roman" w:cs="Times New Roman"/>
          <w:i w:val="0"/>
          <w:caps w:val="0"/>
          <w:color w:val="auto"/>
          <w:spacing w:val="0"/>
          <w:sz w:val="32"/>
          <w:szCs w:val="32"/>
          <w:highlight w:val="none"/>
          <w:lang w:eastAsia="zh-CN"/>
        </w:rPr>
        <w:t>，</w:t>
      </w:r>
      <w:r>
        <w:rPr>
          <w:rFonts w:hint="default" w:ascii="Times New Roman" w:hAnsi="Times New Roman" w:cs="Times New Roman"/>
          <w:b w:val="0"/>
          <w:bCs w:val="0"/>
          <w:i w:val="0"/>
          <w:caps w:val="0"/>
          <w:color w:val="auto"/>
          <w:spacing w:val="0"/>
          <w:sz w:val="32"/>
          <w:szCs w:val="32"/>
          <w:highlight w:val="none"/>
          <w:lang w:val="en-US" w:eastAsia="zh-CN"/>
        </w:rPr>
        <w:t>农产品冷链流通率</w:t>
      </w:r>
      <w:r>
        <w:rPr>
          <w:rFonts w:hint="eastAsia" w:ascii="Times New Roman" w:hAnsi="Times New Roman" w:cs="Times New Roman"/>
          <w:b w:val="0"/>
          <w:bCs w:val="0"/>
          <w:i w:val="0"/>
          <w:caps w:val="0"/>
          <w:color w:val="auto"/>
          <w:spacing w:val="0"/>
          <w:sz w:val="32"/>
          <w:szCs w:val="32"/>
          <w:highlight w:val="none"/>
          <w:lang w:val="en-US" w:eastAsia="zh-CN"/>
        </w:rPr>
        <w:t>达到60%</w:t>
      </w:r>
      <w:r>
        <w:rPr>
          <w:rFonts w:hint="default" w:ascii="Times New Roman" w:hAnsi="Times New Roman" w:cs="Times New Roman"/>
          <w:b w:val="0"/>
          <w:bCs w:val="0"/>
          <w:i w:val="0"/>
          <w:caps w:val="0"/>
          <w:color w:val="auto"/>
          <w:spacing w:val="0"/>
          <w:sz w:val="32"/>
          <w:szCs w:val="32"/>
          <w:highlight w:val="none"/>
          <w:lang w:val="en-US" w:eastAsia="zh-CN"/>
        </w:rPr>
        <w:t>。</w:t>
      </w:r>
    </w:p>
    <w:p w14:paraId="3EB0D5C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640"/>
        <w:jc w:val="left"/>
        <w:textAlignment w:val="auto"/>
        <w:rPr>
          <w:rFonts w:hint="default" w:ascii="Times New Roman" w:hAnsi="Times New Roman" w:eastAsia="仿宋_GB2312" w:cs="Times New Roman"/>
          <w:b/>
          <w:bCs/>
          <w:i w:val="0"/>
          <w:caps w:val="0"/>
          <w:color w:val="auto"/>
          <w:spacing w:val="0"/>
          <w:sz w:val="32"/>
          <w:szCs w:val="32"/>
          <w:highlight w:val="none"/>
        </w:rPr>
      </w:pPr>
      <w:r>
        <w:rPr>
          <w:rFonts w:hint="eastAsia" w:ascii="Times New Roman" w:hAnsi="Times New Roman" w:cs="Times New Roman"/>
          <w:i w:val="0"/>
          <w:caps w:val="0"/>
          <w:color w:val="auto"/>
          <w:spacing w:val="0"/>
          <w:sz w:val="32"/>
          <w:szCs w:val="32"/>
          <w:highlight w:val="none"/>
          <w:lang w:val="en-US" w:eastAsia="zh-CN"/>
        </w:rPr>
        <w:t>2.支持农业产业园内名优特色农产品参与农业品牌评定、省名特优新农产品评审。</w:t>
      </w:r>
      <w:r>
        <w:rPr>
          <w:rFonts w:hint="default" w:ascii="Times New Roman" w:hAnsi="Times New Roman" w:eastAsia="仿宋_GB2312" w:cs="Times New Roman"/>
          <w:b w:val="0"/>
          <w:bCs w:val="0"/>
          <w:i w:val="0"/>
          <w:caps w:val="0"/>
          <w:color w:val="auto"/>
          <w:spacing w:val="0"/>
          <w:sz w:val="32"/>
          <w:szCs w:val="32"/>
          <w:highlight w:val="none"/>
        </w:rPr>
        <w:t>支持农业产业园企业参与创建“粤字号”</w:t>
      </w:r>
      <w:r>
        <w:rPr>
          <w:rFonts w:hint="eastAsia" w:ascii="Times New Roman" w:hAnsi="Times New Roman" w:cs="Times New Roman"/>
          <w:b w:val="0"/>
          <w:bCs w:val="0"/>
          <w:i w:val="0"/>
          <w:caps w:val="0"/>
          <w:color w:val="auto"/>
          <w:spacing w:val="0"/>
          <w:sz w:val="32"/>
          <w:szCs w:val="32"/>
          <w:highlight w:val="none"/>
          <w:lang w:val="en-US" w:eastAsia="zh-CN"/>
        </w:rPr>
        <w:t>或“汕字号”</w:t>
      </w:r>
      <w:r>
        <w:rPr>
          <w:rFonts w:hint="default" w:ascii="Times New Roman" w:hAnsi="Times New Roman" w:eastAsia="仿宋_GB2312" w:cs="Times New Roman"/>
          <w:b w:val="0"/>
          <w:bCs w:val="0"/>
          <w:i w:val="0"/>
          <w:caps w:val="0"/>
          <w:color w:val="auto"/>
          <w:spacing w:val="0"/>
          <w:sz w:val="32"/>
          <w:szCs w:val="32"/>
          <w:highlight w:val="none"/>
        </w:rPr>
        <w:t>农业知名品牌推介活动</w:t>
      </w:r>
      <w:r>
        <w:rPr>
          <w:rFonts w:hint="eastAsia" w:ascii="Times New Roman" w:hAnsi="Times New Roman" w:cs="Times New Roman"/>
          <w:b w:val="0"/>
          <w:bCs w:val="0"/>
          <w:i w:val="0"/>
          <w:caps w:val="0"/>
          <w:color w:val="auto"/>
          <w:spacing w:val="0"/>
          <w:sz w:val="32"/>
          <w:szCs w:val="32"/>
          <w:highlight w:val="none"/>
          <w:lang w:val="en-US" w:eastAsia="zh-CN"/>
        </w:rPr>
        <w:t>2场以上</w:t>
      </w:r>
      <w:r>
        <w:rPr>
          <w:rFonts w:hint="default" w:ascii="Times New Roman" w:hAnsi="Times New Roman" w:eastAsia="仿宋_GB2312" w:cs="Times New Roman"/>
          <w:b w:val="0"/>
          <w:bCs w:val="0"/>
          <w:i w:val="0"/>
          <w:caps w:val="0"/>
          <w:color w:val="auto"/>
          <w:spacing w:val="0"/>
          <w:sz w:val="32"/>
          <w:szCs w:val="32"/>
          <w:highlight w:val="none"/>
        </w:rPr>
        <w:t>。</w:t>
      </w:r>
    </w:p>
    <w:p w14:paraId="55A6B381">
      <w:pPr>
        <w:pStyle w:val="4"/>
        <w:keepNext w:val="0"/>
        <w:keepLines/>
        <w:pageBreakBefore w:val="0"/>
        <w:widowControl/>
        <w:kinsoku/>
        <w:wordWrap/>
        <w:overflowPunct/>
        <w:topLinePunct w:val="0"/>
        <w:autoSpaceDE/>
        <w:autoSpaceDN/>
        <w:bidi w:val="0"/>
        <w:adjustRightInd/>
        <w:snapToGrid/>
        <w:spacing w:line="590" w:lineRule="exact"/>
        <w:ind w:firstLine="643" w:firstLineChars="200"/>
        <w:textAlignment w:val="auto"/>
        <w:outlineLvl w:val="1"/>
        <w:rPr>
          <w:rFonts w:hint="eastAsia" w:ascii="Times New Roman" w:hAnsi="Times New Roman" w:eastAsia="楷体_GB2312" w:cs="楷体_GB2312"/>
          <w:b/>
          <w:bCs w:val="0"/>
          <w:color w:val="auto"/>
          <w:highlight w:val="none"/>
          <w:lang w:val="en-US" w:eastAsia="zh-CN"/>
        </w:rPr>
      </w:pPr>
      <w:bookmarkStart w:id="299" w:name="_Toc1135"/>
      <w:r>
        <w:rPr>
          <w:rFonts w:hint="eastAsia" w:ascii="Times New Roman" w:hAnsi="Times New Roman" w:eastAsia="楷体_GB2312" w:cs="楷体_GB2312"/>
          <w:b/>
          <w:bCs w:val="0"/>
          <w:color w:val="auto"/>
          <w:highlight w:val="none"/>
          <w:lang w:val="en-US" w:eastAsia="zh-CN"/>
        </w:rPr>
        <w:t>（五）加强基础设施建设</w:t>
      </w:r>
      <w:bookmarkEnd w:id="299"/>
    </w:p>
    <w:p w14:paraId="4801306F">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 w:val="32"/>
          <w:szCs w:val="32"/>
          <w:highlight w:val="none"/>
          <w:lang w:val="en-US" w:eastAsia="zh-CN"/>
        </w:rPr>
      </w:pPr>
      <w:r>
        <w:rPr>
          <w:rFonts w:hint="default" w:ascii="Times New Roman" w:hAnsi="Times New Roman" w:cs="仿宋_GB2312"/>
          <w:color w:val="auto"/>
          <w:sz w:val="32"/>
          <w:szCs w:val="32"/>
          <w:highlight w:val="none"/>
          <w:lang w:val="en-US" w:eastAsia="zh-CN"/>
        </w:rPr>
        <w:t>1.优化园区周边交通路网</w:t>
      </w:r>
    </w:p>
    <w:p w14:paraId="1C3B873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640"/>
        <w:jc w:val="left"/>
        <w:textAlignment w:val="auto"/>
        <w:rPr>
          <w:rFonts w:hint="default" w:ascii="Times New Roman" w:hAnsi="Times New Roman" w:eastAsia="仿宋_GB2312" w:cs="Times New Roman"/>
          <w:i w:val="0"/>
          <w:caps w:val="0"/>
          <w:color w:val="auto"/>
          <w:spacing w:val="0"/>
          <w:sz w:val="32"/>
          <w:szCs w:val="32"/>
          <w:highlight w:val="none"/>
          <w:lang w:eastAsia="zh-CN"/>
        </w:rPr>
      </w:pPr>
      <w:r>
        <w:rPr>
          <w:rFonts w:hint="default" w:ascii="Times New Roman" w:hAnsi="Times New Roman" w:eastAsia="仿宋_GB2312" w:cs="Times New Roman"/>
          <w:i w:val="0"/>
          <w:caps w:val="0"/>
          <w:color w:val="auto"/>
          <w:spacing w:val="0"/>
          <w:sz w:val="32"/>
          <w:szCs w:val="32"/>
          <w:highlight w:val="none"/>
          <w:lang w:eastAsia="zh-CN"/>
        </w:rPr>
        <w:t>优化园区周边路网。优先升级改造通达农业产业园的道路。保障农业产业园道路与道路主干线顺畅衔接，为园区建设提供良好的交通环境。</w:t>
      </w:r>
    </w:p>
    <w:p w14:paraId="595D10BC">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 w:val="32"/>
          <w:szCs w:val="32"/>
          <w:highlight w:val="none"/>
          <w:lang w:val="en-US" w:eastAsia="zh-CN"/>
        </w:rPr>
      </w:pPr>
      <w:r>
        <w:rPr>
          <w:rFonts w:hint="default" w:ascii="Times New Roman" w:hAnsi="Times New Roman" w:cs="仿宋_GB2312"/>
          <w:color w:val="auto"/>
          <w:sz w:val="32"/>
          <w:szCs w:val="32"/>
          <w:highlight w:val="none"/>
          <w:lang w:val="en-US" w:eastAsia="zh-CN"/>
        </w:rPr>
        <w:t>2.保障园区用水安全</w:t>
      </w:r>
    </w:p>
    <w:p w14:paraId="63FA479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640"/>
        <w:jc w:val="left"/>
        <w:textAlignment w:val="auto"/>
        <w:rPr>
          <w:rFonts w:hint="default" w:ascii="Times New Roman" w:hAnsi="Times New Roman" w:eastAsia="仿宋_GB2312" w:cs="Times New Roman"/>
          <w:i w:val="0"/>
          <w:caps w:val="0"/>
          <w:color w:val="auto"/>
          <w:spacing w:val="0"/>
          <w:sz w:val="32"/>
          <w:szCs w:val="32"/>
          <w:highlight w:val="none"/>
        </w:rPr>
      </w:pPr>
      <w:r>
        <w:rPr>
          <w:rFonts w:hint="default" w:ascii="Times New Roman" w:hAnsi="Times New Roman" w:eastAsia="仿宋_GB2312" w:cs="Times New Roman"/>
          <w:i w:val="0"/>
          <w:caps w:val="0"/>
          <w:color w:val="auto"/>
          <w:spacing w:val="0"/>
          <w:sz w:val="32"/>
          <w:szCs w:val="32"/>
          <w:highlight w:val="none"/>
          <w:lang w:eastAsia="zh-CN"/>
        </w:rPr>
        <w:t>依据农业产业园规划，建设配套农村饮水、生产用水等供水设施，优先安排农业产业园供水网</w:t>
      </w:r>
      <w:r>
        <w:rPr>
          <w:rFonts w:hint="default" w:ascii="Times New Roman" w:hAnsi="Times New Roman" w:eastAsia="仿宋_GB2312" w:cs="Times New Roman"/>
          <w:i w:val="0"/>
          <w:caps w:val="0"/>
          <w:color w:val="auto"/>
          <w:spacing w:val="0"/>
          <w:sz w:val="32"/>
          <w:szCs w:val="32"/>
          <w:highlight w:val="none"/>
        </w:rPr>
        <w:t>络改造项目；加强水利配套设施</w:t>
      </w:r>
      <w:r>
        <w:rPr>
          <w:rFonts w:hint="eastAsia" w:ascii="Times New Roman" w:hAnsi="Times New Roman" w:cs="Times New Roman"/>
          <w:i w:val="0"/>
          <w:caps w:val="0"/>
          <w:color w:val="auto"/>
          <w:spacing w:val="0"/>
          <w:sz w:val="32"/>
          <w:szCs w:val="32"/>
          <w:highlight w:val="none"/>
          <w:lang w:val="en-US" w:eastAsia="zh-CN"/>
        </w:rPr>
        <w:t>建设</w:t>
      </w:r>
      <w:r>
        <w:rPr>
          <w:rFonts w:hint="default" w:ascii="Times New Roman" w:hAnsi="Times New Roman" w:eastAsia="仿宋_GB2312" w:cs="Times New Roman"/>
          <w:i w:val="0"/>
          <w:caps w:val="0"/>
          <w:color w:val="auto"/>
          <w:spacing w:val="0"/>
          <w:sz w:val="32"/>
          <w:szCs w:val="32"/>
          <w:highlight w:val="none"/>
        </w:rPr>
        <w:t>，提高水安全保障能力。</w:t>
      </w:r>
    </w:p>
    <w:p w14:paraId="2B7DF37E">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 w:val="32"/>
          <w:szCs w:val="32"/>
          <w:highlight w:val="none"/>
          <w:lang w:val="en-US" w:eastAsia="zh-CN"/>
        </w:rPr>
      </w:pPr>
      <w:r>
        <w:rPr>
          <w:rFonts w:hint="default" w:ascii="Times New Roman" w:hAnsi="Times New Roman" w:cs="仿宋_GB2312"/>
          <w:color w:val="auto"/>
          <w:sz w:val="32"/>
          <w:szCs w:val="32"/>
          <w:highlight w:val="none"/>
          <w:lang w:val="en-US" w:eastAsia="zh-CN"/>
        </w:rPr>
        <w:t>3.保障园区建设电力供应</w:t>
      </w:r>
    </w:p>
    <w:p w14:paraId="0ED4B847">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left"/>
        <w:textAlignment w:val="auto"/>
        <w:rPr>
          <w:rFonts w:hint="default" w:ascii="Times New Roman" w:hAnsi="Times New Roman" w:eastAsia="仿宋_GB2312" w:cs="Times New Roman"/>
          <w:i w:val="0"/>
          <w:caps w:val="0"/>
          <w:color w:val="auto"/>
          <w:spacing w:val="0"/>
          <w:sz w:val="32"/>
          <w:szCs w:val="32"/>
          <w:highlight w:val="none"/>
        </w:rPr>
      </w:pPr>
      <w:r>
        <w:rPr>
          <w:rFonts w:hint="default" w:ascii="Times New Roman" w:hAnsi="Times New Roman" w:eastAsia="仿宋_GB2312" w:cs="Times New Roman"/>
          <w:i w:val="0"/>
          <w:caps w:val="0"/>
          <w:color w:val="auto"/>
          <w:spacing w:val="0"/>
          <w:sz w:val="32"/>
          <w:szCs w:val="32"/>
          <w:highlight w:val="none"/>
        </w:rPr>
        <w:t>根据农业产业园规划，将配电网规划覆盖农业产业园核心区，加强农业产业园客户供电服务，保障农业产业园客户用电；进一步精简农业产业园客户用电报装程序，</w:t>
      </w:r>
      <w:r>
        <w:rPr>
          <w:rFonts w:hint="default" w:ascii="Times New Roman" w:hAnsi="Times New Roman" w:eastAsia="仿宋_GB2312" w:cs="Times New Roman"/>
          <w:i w:val="0"/>
          <w:caps w:val="0"/>
          <w:color w:val="auto"/>
          <w:spacing w:val="0"/>
          <w:sz w:val="32"/>
          <w:szCs w:val="32"/>
          <w:highlight w:val="none"/>
          <w:lang w:val="en-US" w:eastAsia="zh-CN"/>
        </w:rPr>
        <w:t>为</w:t>
      </w:r>
      <w:r>
        <w:rPr>
          <w:rFonts w:hint="default" w:ascii="Times New Roman" w:hAnsi="Times New Roman" w:eastAsia="仿宋_GB2312" w:cs="Times New Roman"/>
          <w:i w:val="0"/>
          <w:caps w:val="0"/>
          <w:color w:val="auto"/>
          <w:spacing w:val="0"/>
          <w:sz w:val="32"/>
          <w:szCs w:val="32"/>
          <w:highlight w:val="none"/>
        </w:rPr>
        <w:t>新增报装用电</w:t>
      </w:r>
      <w:r>
        <w:rPr>
          <w:rFonts w:hint="default" w:ascii="Times New Roman" w:hAnsi="Times New Roman" w:eastAsia="仿宋_GB2312" w:cs="Times New Roman"/>
          <w:i w:val="0"/>
          <w:caps w:val="0"/>
          <w:color w:val="auto"/>
          <w:spacing w:val="0"/>
          <w:sz w:val="32"/>
          <w:szCs w:val="32"/>
          <w:highlight w:val="none"/>
          <w:lang w:val="en-US" w:eastAsia="zh-CN"/>
        </w:rPr>
        <w:t>户</w:t>
      </w:r>
      <w:r>
        <w:rPr>
          <w:rFonts w:hint="default" w:ascii="Times New Roman" w:hAnsi="Times New Roman" w:eastAsia="仿宋_GB2312" w:cs="Times New Roman"/>
          <w:i w:val="0"/>
          <w:caps w:val="0"/>
          <w:color w:val="auto"/>
          <w:spacing w:val="0"/>
          <w:sz w:val="32"/>
          <w:szCs w:val="32"/>
          <w:highlight w:val="none"/>
        </w:rPr>
        <w:t>提供</w:t>
      </w:r>
      <w:r>
        <w:rPr>
          <w:rFonts w:hint="default" w:ascii="Times New Roman" w:hAnsi="Times New Roman" w:eastAsia="仿宋_GB2312" w:cs="Times New Roman"/>
          <w:i w:val="0"/>
          <w:caps w:val="0"/>
          <w:color w:val="auto"/>
          <w:spacing w:val="0"/>
          <w:sz w:val="32"/>
          <w:szCs w:val="32"/>
          <w:highlight w:val="none"/>
          <w:lang w:val="en-US" w:eastAsia="zh-CN"/>
        </w:rPr>
        <w:t>高效优质服务</w:t>
      </w:r>
      <w:r>
        <w:rPr>
          <w:rFonts w:hint="default" w:ascii="Times New Roman" w:hAnsi="Times New Roman" w:eastAsia="仿宋_GB2312" w:cs="Times New Roman"/>
          <w:i w:val="0"/>
          <w:caps w:val="0"/>
          <w:color w:val="auto"/>
          <w:spacing w:val="0"/>
          <w:sz w:val="32"/>
          <w:szCs w:val="32"/>
          <w:highlight w:val="none"/>
        </w:rPr>
        <w:t>。</w:t>
      </w:r>
    </w:p>
    <w:p w14:paraId="2C83EBA1">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 w:val="32"/>
          <w:szCs w:val="32"/>
          <w:highlight w:val="none"/>
          <w:lang w:val="en-US" w:eastAsia="zh-CN"/>
        </w:rPr>
      </w:pPr>
      <w:r>
        <w:rPr>
          <w:rFonts w:hint="default" w:ascii="Times New Roman" w:hAnsi="Times New Roman" w:cs="仿宋_GB2312"/>
          <w:color w:val="auto"/>
          <w:sz w:val="32"/>
          <w:szCs w:val="32"/>
          <w:highlight w:val="none"/>
          <w:lang w:val="en-US" w:eastAsia="zh-CN"/>
        </w:rPr>
        <w:t>4.提升农业产业园信息通信水平</w:t>
      </w:r>
    </w:p>
    <w:p w14:paraId="04C64889">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left"/>
        <w:textAlignment w:val="auto"/>
        <w:rPr>
          <w:rFonts w:hint="default" w:ascii="Times New Roman" w:hAnsi="Times New Roman" w:eastAsia="仿宋_GB2312" w:cs="Times New Roman"/>
          <w:b w:val="0"/>
          <w:bCs w:val="0"/>
          <w:i w:val="0"/>
          <w:caps w:val="0"/>
          <w:color w:val="auto"/>
          <w:spacing w:val="0"/>
          <w:sz w:val="32"/>
          <w:szCs w:val="32"/>
          <w:highlight w:val="none"/>
        </w:rPr>
      </w:pPr>
      <w:r>
        <w:rPr>
          <w:rFonts w:hint="default" w:ascii="Times New Roman" w:hAnsi="Times New Roman" w:eastAsia="仿宋_GB2312" w:cs="Times New Roman"/>
          <w:i w:val="0"/>
          <w:caps w:val="0"/>
          <w:color w:val="auto"/>
          <w:spacing w:val="0"/>
          <w:sz w:val="32"/>
          <w:szCs w:val="32"/>
          <w:highlight w:val="none"/>
        </w:rPr>
        <w:t>协调主要电信运营商优先安排农业产业园信息基础设施及通信管网建设，推动光纤网络和5G普遍覆盖农业产业园，</w:t>
      </w:r>
      <w:r>
        <w:rPr>
          <w:rFonts w:hint="default" w:ascii="Times New Roman" w:hAnsi="Times New Roman" w:eastAsia="仿宋_GB2312" w:cs="Times New Roman"/>
          <w:b w:val="0"/>
          <w:bCs w:val="0"/>
          <w:i w:val="0"/>
          <w:caps w:val="0"/>
          <w:color w:val="auto"/>
          <w:spacing w:val="0"/>
          <w:sz w:val="32"/>
          <w:szCs w:val="32"/>
          <w:highlight w:val="none"/>
        </w:rPr>
        <w:t>覆盖</w:t>
      </w:r>
      <w:r>
        <w:rPr>
          <w:rFonts w:hint="eastAsia" w:ascii="Times New Roman" w:hAnsi="Times New Roman" w:cs="Times New Roman"/>
          <w:b w:val="0"/>
          <w:bCs w:val="0"/>
          <w:i w:val="0"/>
          <w:caps w:val="0"/>
          <w:color w:val="auto"/>
          <w:spacing w:val="0"/>
          <w:sz w:val="32"/>
          <w:szCs w:val="32"/>
          <w:highlight w:val="none"/>
          <w:lang w:val="en-US" w:eastAsia="zh-CN"/>
        </w:rPr>
        <w:t>率达90%以上，</w:t>
      </w:r>
      <w:r>
        <w:rPr>
          <w:rFonts w:hint="default" w:ascii="Times New Roman" w:hAnsi="Times New Roman" w:eastAsia="仿宋_GB2312" w:cs="Times New Roman"/>
          <w:b w:val="0"/>
          <w:bCs w:val="0"/>
          <w:i w:val="0"/>
          <w:caps w:val="0"/>
          <w:color w:val="auto"/>
          <w:spacing w:val="0"/>
          <w:sz w:val="32"/>
          <w:szCs w:val="32"/>
          <w:highlight w:val="none"/>
        </w:rPr>
        <w:t>利用现代信息通信技术提升农业产业园竞争力。</w:t>
      </w:r>
    </w:p>
    <w:p w14:paraId="2C1FEF9E">
      <w:pPr>
        <w:pStyle w:val="4"/>
        <w:keepNext w:val="0"/>
        <w:keepLines/>
        <w:pageBreakBefore w:val="0"/>
        <w:widowControl/>
        <w:kinsoku/>
        <w:wordWrap/>
        <w:overflowPunct/>
        <w:topLinePunct w:val="0"/>
        <w:autoSpaceDE/>
        <w:autoSpaceDN/>
        <w:bidi w:val="0"/>
        <w:adjustRightInd/>
        <w:snapToGrid/>
        <w:spacing w:line="590" w:lineRule="exact"/>
        <w:ind w:firstLine="643" w:firstLineChars="200"/>
        <w:textAlignment w:val="auto"/>
        <w:outlineLvl w:val="1"/>
        <w:rPr>
          <w:rFonts w:hint="eastAsia" w:ascii="Times New Roman" w:hAnsi="Times New Roman" w:eastAsia="楷体_GB2312" w:cs="楷体_GB2312"/>
          <w:b/>
          <w:bCs w:val="0"/>
          <w:color w:val="auto"/>
          <w:highlight w:val="none"/>
          <w:lang w:val="en-US" w:eastAsia="zh-CN"/>
        </w:rPr>
      </w:pPr>
      <w:bookmarkStart w:id="300" w:name="_Toc26168"/>
      <w:r>
        <w:rPr>
          <w:rFonts w:hint="eastAsia" w:ascii="Times New Roman" w:hAnsi="Times New Roman" w:eastAsia="楷体_GB2312" w:cs="楷体_GB2312"/>
          <w:b/>
          <w:bCs w:val="0"/>
          <w:color w:val="auto"/>
          <w:highlight w:val="none"/>
          <w:lang w:val="en-US" w:eastAsia="zh-CN"/>
        </w:rPr>
        <w:t>（六）优化园区营商环境</w:t>
      </w:r>
      <w:bookmarkEnd w:id="300"/>
    </w:p>
    <w:p w14:paraId="5D8093A2">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 w:val="32"/>
          <w:szCs w:val="32"/>
          <w:highlight w:val="none"/>
          <w:lang w:val="en-US" w:eastAsia="zh-CN"/>
        </w:rPr>
      </w:pPr>
      <w:r>
        <w:rPr>
          <w:rFonts w:hint="default" w:ascii="Times New Roman" w:hAnsi="Times New Roman" w:cs="仿宋_GB2312"/>
          <w:color w:val="auto"/>
          <w:sz w:val="32"/>
          <w:szCs w:val="32"/>
          <w:highlight w:val="none"/>
          <w:lang w:val="en-US" w:eastAsia="zh-CN"/>
        </w:rPr>
        <w:t>1.放宽园区企业注册登记</w:t>
      </w:r>
    </w:p>
    <w:p w14:paraId="0B47FC8C">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left"/>
        <w:textAlignment w:val="auto"/>
        <w:rPr>
          <w:rFonts w:hint="default" w:ascii="Times New Roman" w:hAnsi="Times New Roman" w:eastAsia="仿宋_GB2312" w:cs="Times New Roman"/>
          <w:b w:val="0"/>
          <w:bCs w:val="0"/>
          <w:i w:val="0"/>
          <w:caps w:val="0"/>
          <w:color w:val="auto"/>
          <w:spacing w:val="0"/>
          <w:sz w:val="32"/>
          <w:szCs w:val="32"/>
          <w:highlight w:val="none"/>
        </w:rPr>
      </w:pPr>
      <w:r>
        <w:rPr>
          <w:rFonts w:hint="eastAsia" w:ascii="Times New Roman" w:hAnsi="Times New Roman" w:cs="Times New Roman"/>
          <w:b w:val="0"/>
          <w:bCs w:val="0"/>
          <w:i w:val="0"/>
          <w:caps w:val="0"/>
          <w:color w:val="auto"/>
          <w:spacing w:val="0"/>
          <w:sz w:val="32"/>
          <w:szCs w:val="32"/>
          <w:highlight w:val="none"/>
          <w:lang w:val="en-US" w:eastAsia="zh-CN"/>
        </w:rPr>
        <w:t>开通</w:t>
      </w:r>
      <w:r>
        <w:rPr>
          <w:rFonts w:hint="default" w:ascii="Times New Roman" w:hAnsi="Times New Roman" w:eastAsia="仿宋_GB2312" w:cs="Times New Roman"/>
          <w:b w:val="0"/>
          <w:bCs w:val="0"/>
          <w:i w:val="0"/>
          <w:caps w:val="0"/>
          <w:color w:val="auto"/>
          <w:spacing w:val="0"/>
          <w:sz w:val="32"/>
          <w:szCs w:val="32"/>
          <w:highlight w:val="none"/>
        </w:rPr>
        <w:t>营业执照登记</w:t>
      </w:r>
      <w:r>
        <w:rPr>
          <w:rFonts w:hint="eastAsia" w:ascii="Times New Roman" w:hAnsi="Times New Roman" w:cs="Times New Roman"/>
          <w:b w:val="0"/>
          <w:bCs w:val="0"/>
          <w:i w:val="0"/>
          <w:caps w:val="0"/>
          <w:color w:val="auto"/>
          <w:spacing w:val="0"/>
          <w:sz w:val="32"/>
          <w:szCs w:val="32"/>
          <w:highlight w:val="none"/>
          <w:lang w:eastAsia="zh-CN"/>
        </w:rPr>
        <w:t>、</w:t>
      </w:r>
      <w:r>
        <w:rPr>
          <w:rFonts w:hint="eastAsia" w:ascii="Times New Roman" w:hAnsi="Times New Roman" w:cs="Times New Roman"/>
          <w:b w:val="0"/>
          <w:bCs w:val="0"/>
          <w:i w:val="0"/>
          <w:caps w:val="0"/>
          <w:color w:val="auto"/>
          <w:spacing w:val="0"/>
          <w:sz w:val="32"/>
          <w:szCs w:val="32"/>
          <w:highlight w:val="none"/>
          <w:lang w:val="en-US" w:eastAsia="zh-CN"/>
        </w:rPr>
        <w:t>项目审批</w:t>
      </w:r>
      <w:r>
        <w:rPr>
          <w:rFonts w:hint="default" w:ascii="Times New Roman" w:hAnsi="Times New Roman" w:eastAsia="仿宋_GB2312" w:cs="Times New Roman"/>
          <w:b w:val="0"/>
          <w:bCs w:val="0"/>
          <w:i w:val="0"/>
          <w:caps w:val="0"/>
          <w:color w:val="auto"/>
          <w:spacing w:val="0"/>
          <w:sz w:val="32"/>
          <w:szCs w:val="32"/>
          <w:highlight w:val="none"/>
        </w:rPr>
        <w:t>绿色通道，按照“提前介入、重点指导、全程服务”的原则，认真做好</w:t>
      </w:r>
      <w:r>
        <w:rPr>
          <w:rFonts w:hint="eastAsia" w:ascii="Times New Roman" w:hAnsi="Times New Roman" w:cs="Times New Roman"/>
          <w:b w:val="0"/>
          <w:bCs w:val="0"/>
          <w:i w:val="0"/>
          <w:caps w:val="0"/>
          <w:color w:val="auto"/>
          <w:spacing w:val="0"/>
          <w:sz w:val="32"/>
          <w:szCs w:val="32"/>
          <w:highlight w:val="none"/>
          <w:lang w:val="en-US" w:eastAsia="zh-CN"/>
        </w:rPr>
        <w:t>各项服务</w:t>
      </w:r>
      <w:r>
        <w:rPr>
          <w:rFonts w:hint="default" w:ascii="Times New Roman" w:hAnsi="Times New Roman" w:eastAsia="仿宋_GB2312" w:cs="Times New Roman"/>
          <w:b w:val="0"/>
          <w:bCs w:val="0"/>
          <w:i w:val="0"/>
          <w:caps w:val="0"/>
          <w:color w:val="auto"/>
          <w:spacing w:val="0"/>
          <w:sz w:val="32"/>
          <w:szCs w:val="32"/>
          <w:highlight w:val="none"/>
        </w:rPr>
        <w:t>工作。</w:t>
      </w:r>
    </w:p>
    <w:p w14:paraId="5393D135">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 w:val="32"/>
          <w:szCs w:val="32"/>
          <w:highlight w:val="none"/>
          <w:lang w:val="en-US" w:eastAsia="zh-CN"/>
        </w:rPr>
      </w:pPr>
      <w:r>
        <w:rPr>
          <w:rFonts w:hint="default" w:ascii="Times New Roman" w:hAnsi="Times New Roman" w:cs="仿宋_GB2312"/>
          <w:color w:val="auto"/>
          <w:sz w:val="32"/>
          <w:szCs w:val="32"/>
          <w:highlight w:val="none"/>
          <w:lang w:val="en-US" w:eastAsia="zh-CN"/>
        </w:rPr>
        <w:t>2.支持新型经营主体发展</w:t>
      </w:r>
    </w:p>
    <w:p w14:paraId="37352A38">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default" w:ascii="Times New Roman" w:hAnsi="Times New Roman" w:eastAsia="仿宋_GB2312" w:cs="Times New Roman"/>
          <w:b w:val="0"/>
          <w:bCs w:val="0"/>
          <w:i w:val="0"/>
          <w:caps w:val="0"/>
          <w:color w:val="auto"/>
          <w:spacing w:val="0"/>
          <w:sz w:val="32"/>
          <w:szCs w:val="32"/>
          <w:highlight w:val="none"/>
        </w:rPr>
      </w:pPr>
      <w:r>
        <w:rPr>
          <w:rFonts w:hint="eastAsia" w:ascii="Times New Roman" w:hAnsi="Times New Roman" w:cs="Times New Roman"/>
          <w:b w:val="0"/>
          <w:bCs w:val="0"/>
          <w:i w:val="0"/>
          <w:caps w:val="0"/>
          <w:color w:val="auto"/>
          <w:spacing w:val="0"/>
          <w:sz w:val="32"/>
          <w:szCs w:val="32"/>
          <w:highlight w:val="none"/>
          <w:lang w:val="en-US" w:eastAsia="zh-CN"/>
        </w:rPr>
        <w:t>同等条件下，优先</w:t>
      </w:r>
      <w:r>
        <w:rPr>
          <w:rFonts w:hint="default" w:ascii="Times New Roman" w:hAnsi="Times New Roman" w:eastAsia="仿宋_GB2312" w:cs="Times New Roman"/>
          <w:b w:val="0"/>
          <w:bCs w:val="0"/>
          <w:i w:val="0"/>
          <w:caps w:val="0"/>
          <w:color w:val="auto"/>
          <w:spacing w:val="0"/>
          <w:sz w:val="32"/>
          <w:szCs w:val="32"/>
          <w:highlight w:val="none"/>
        </w:rPr>
        <w:t>支持农业产业园</w:t>
      </w:r>
      <w:r>
        <w:rPr>
          <w:rFonts w:hint="eastAsia" w:ascii="Times New Roman" w:hAnsi="Times New Roman" w:cs="Times New Roman"/>
          <w:b w:val="0"/>
          <w:bCs w:val="0"/>
          <w:i w:val="0"/>
          <w:caps w:val="0"/>
          <w:color w:val="auto"/>
          <w:spacing w:val="0"/>
          <w:sz w:val="32"/>
          <w:szCs w:val="32"/>
          <w:highlight w:val="none"/>
          <w:lang w:val="en-US" w:eastAsia="zh-CN"/>
        </w:rPr>
        <w:t>实施主体参加省、市级各项评优、评级活动</w:t>
      </w:r>
      <w:r>
        <w:rPr>
          <w:rFonts w:hint="default" w:ascii="Times New Roman" w:hAnsi="Times New Roman" w:eastAsia="仿宋_GB2312" w:cs="Times New Roman"/>
          <w:b w:val="0"/>
          <w:bCs w:val="0"/>
          <w:i w:val="0"/>
          <w:caps w:val="0"/>
          <w:color w:val="auto"/>
          <w:spacing w:val="0"/>
          <w:sz w:val="32"/>
          <w:szCs w:val="32"/>
          <w:highlight w:val="none"/>
        </w:rPr>
        <w:t>。</w:t>
      </w:r>
    </w:p>
    <w:p w14:paraId="7ECB4B99">
      <w:pPr>
        <w:pStyle w:val="4"/>
        <w:keepNext w:val="0"/>
        <w:keepLines/>
        <w:pageBreakBefore w:val="0"/>
        <w:widowControl/>
        <w:kinsoku/>
        <w:wordWrap/>
        <w:overflowPunct/>
        <w:topLinePunct w:val="0"/>
        <w:autoSpaceDE/>
        <w:autoSpaceDN/>
        <w:bidi w:val="0"/>
        <w:adjustRightInd/>
        <w:snapToGrid/>
        <w:spacing w:line="590" w:lineRule="exact"/>
        <w:ind w:firstLine="643" w:firstLineChars="200"/>
        <w:textAlignment w:val="auto"/>
        <w:outlineLvl w:val="1"/>
        <w:rPr>
          <w:rFonts w:hint="eastAsia" w:ascii="Times New Roman" w:hAnsi="Times New Roman" w:eastAsia="楷体_GB2312" w:cs="楷体_GB2312"/>
          <w:b/>
          <w:bCs w:val="0"/>
          <w:color w:val="auto"/>
          <w:highlight w:val="none"/>
          <w:lang w:val="en-US" w:eastAsia="zh-CN"/>
        </w:rPr>
      </w:pPr>
      <w:bookmarkStart w:id="301" w:name="_Toc9905"/>
      <w:r>
        <w:rPr>
          <w:rFonts w:hint="eastAsia" w:ascii="Times New Roman" w:hAnsi="Times New Roman" w:eastAsia="楷体_GB2312" w:cs="楷体_GB2312"/>
          <w:b/>
          <w:bCs w:val="0"/>
          <w:color w:val="auto"/>
          <w:highlight w:val="none"/>
          <w:lang w:val="en-US" w:eastAsia="zh-CN"/>
        </w:rPr>
        <w:t>（七）强化科技创新体系建设</w:t>
      </w:r>
      <w:bookmarkEnd w:id="301"/>
    </w:p>
    <w:p w14:paraId="6CADDCAB">
      <w:pPr>
        <w:pStyle w:val="4"/>
        <w:pageBreakBefore w:val="0"/>
        <w:kinsoku/>
        <w:overflowPunct/>
        <w:topLinePunct w:val="0"/>
        <w:autoSpaceDE/>
        <w:autoSpaceDN/>
        <w:bidi w:val="0"/>
        <w:adjustRightInd/>
        <w:snapToGrid/>
        <w:spacing w:line="240" w:lineRule="auto"/>
        <w:ind w:firstLine="643"/>
        <w:rPr>
          <w:rFonts w:hint="eastAsia" w:ascii="Times New Roman" w:hAnsi="Times New Roman" w:cs="仿宋_GB2312"/>
          <w:color w:val="auto"/>
          <w:sz w:val="32"/>
          <w:szCs w:val="32"/>
          <w:highlight w:val="none"/>
          <w:lang w:val="en-US" w:eastAsia="zh-CN"/>
        </w:rPr>
      </w:pPr>
      <w:r>
        <w:rPr>
          <w:rFonts w:hint="default" w:ascii="Times New Roman" w:hAnsi="Times New Roman" w:cs="仿宋_GB2312"/>
          <w:color w:val="auto"/>
          <w:sz w:val="32"/>
          <w:szCs w:val="32"/>
          <w:highlight w:val="none"/>
          <w:lang w:val="en-US" w:eastAsia="zh-CN"/>
        </w:rPr>
        <w:t>1.强化科技投入</w:t>
      </w:r>
      <w:r>
        <w:rPr>
          <w:rFonts w:hint="eastAsia" w:ascii="Times New Roman" w:hAnsi="Times New Roman" w:cs="仿宋_GB2312"/>
          <w:color w:val="auto"/>
          <w:sz w:val="32"/>
          <w:szCs w:val="32"/>
          <w:highlight w:val="none"/>
          <w:lang w:val="en-US" w:eastAsia="zh-CN"/>
        </w:rPr>
        <w:t>政策</w:t>
      </w:r>
    </w:p>
    <w:p w14:paraId="76A8BCFA">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00"/>
        <w:jc w:val="left"/>
        <w:textAlignment w:val="auto"/>
        <w:rPr>
          <w:rFonts w:hint="default" w:ascii="Times New Roman" w:hAnsi="Times New Roman" w:eastAsia="仿宋_GB2312" w:cs="Times New Roman"/>
          <w:i w:val="0"/>
          <w:caps w:val="0"/>
          <w:color w:val="auto"/>
          <w:spacing w:val="0"/>
          <w:sz w:val="32"/>
          <w:szCs w:val="32"/>
          <w:highlight w:val="none"/>
        </w:rPr>
      </w:pPr>
      <w:r>
        <w:rPr>
          <w:rFonts w:hint="default" w:ascii="Times New Roman" w:hAnsi="Times New Roman" w:eastAsia="仿宋_GB2312" w:cs="Times New Roman"/>
          <w:i w:val="0"/>
          <w:caps w:val="0"/>
          <w:color w:val="auto"/>
          <w:spacing w:val="0"/>
          <w:sz w:val="32"/>
          <w:szCs w:val="32"/>
          <w:highlight w:val="none"/>
          <w:lang w:val="en-US" w:eastAsia="zh-CN"/>
        </w:rPr>
        <w:t>落实</w:t>
      </w:r>
      <w:r>
        <w:rPr>
          <w:rFonts w:hint="default" w:ascii="Times New Roman" w:hAnsi="Times New Roman" w:eastAsia="仿宋_GB2312" w:cs="Times New Roman"/>
          <w:i w:val="0"/>
          <w:caps w:val="0"/>
          <w:color w:val="auto"/>
          <w:spacing w:val="0"/>
          <w:sz w:val="32"/>
          <w:szCs w:val="32"/>
          <w:highlight w:val="none"/>
        </w:rPr>
        <w:t>投资引导、</w:t>
      </w:r>
      <w:r>
        <w:rPr>
          <w:rFonts w:hint="default" w:ascii="Times New Roman" w:hAnsi="Times New Roman" w:eastAsia="仿宋_GB2312" w:cs="Times New Roman"/>
          <w:i w:val="0"/>
          <w:caps w:val="0"/>
          <w:color w:val="auto"/>
          <w:spacing w:val="0"/>
          <w:sz w:val="32"/>
          <w:szCs w:val="32"/>
          <w:highlight w:val="none"/>
          <w:lang w:val="en-US" w:eastAsia="zh-CN"/>
        </w:rPr>
        <w:t>贷款</w:t>
      </w:r>
      <w:r>
        <w:rPr>
          <w:rFonts w:hint="default" w:ascii="Times New Roman" w:hAnsi="Times New Roman" w:eastAsia="仿宋_GB2312" w:cs="Times New Roman"/>
          <w:i w:val="0"/>
          <w:caps w:val="0"/>
          <w:color w:val="auto"/>
          <w:spacing w:val="0"/>
          <w:sz w:val="32"/>
          <w:szCs w:val="32"/>
          <w:highlight w:val="none"/>
        </w:rPr>
        <w:t>贴息等相关政策措施，重点支持园区企业技术创新、科技成果转化和政产学研合作、科技创新平台建设、重大科技项目实施、知识产权保护等。</w:t>
      </w:r>
    </w:p>
    <w:p w14:paraId="0C93BFC7">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 w:val="32"/>
          <w:szCs w:val="32"/>
          <w:highlight w:val="none"/>
          <w:lang w:val="en-US" w:eastAsia="zh-CN"/>
        </w:rPr>
      </w:pPr>
      <w:r>
        <w:rPr>
          <w:rFonts w:hint="default" w:ascii="Times New Roman" w:hAnsi="Times New Roman" w:cs="仿宋_GB2312"/>
          <w:color w:val="auto"/>
          <w:sz w:val="32"/>
          <w:szCs w:val="32"/>
          <w:highlight w:val="none"/>
          <w:lang w:val="en-US" w:eastAsia="zh-CN"/>
        </w:rPr>
        <w:t>2.支持高水平创新研究院建设</w:t>
      </w:r>
    </w:p>
    <w:p w14:paraId="2D765BC4">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00"/>
        <w:jc w:val="left"/>
        <w:textAlignment w:val="auto"/>
        <w:rPr>
          <w:rFonts w:hint="eastAsia" w:ascii="Times New Roman" w:hAnsi="Times New Roman" w:cs="Times New Roman"/>
          <w:i w:val="0"/>
          <w:caps w:val="0"/>
          <w:color w:val="auto"/>
          <w:spacing w:val="0"/>
          <w:sz w:val="32"/>
          <w:szCs w:val="32"/>
          <w:highlight w:val="none"/>
          <w:lang w:eastAsia="zh-CN"/>
        </w:rPr>
      </w:pPr>
      <w:r>
        <w:rPr>
          <w:rFonts w:hint="eastAsia" w:ascii="Times New Roman" w:hAnsi="Times New Roman" w:eastAsia="仿宋_GB2312" w:cs="Times New Roman"/>
          <w:i w:val="0"/>
          <w:caps w:val="0"/>
          <w:color w:val="auto"/>
          <w:spacing w:val="0"/>
          <w:sz w:val="32"/>
          <w:szCs w:val="32"/>
          <w:highlight w:val="none"/>
          <w:lang w:eastAsia="zh-CN"/>
        </w:rPr>
        <w:t>支持境内外知名高校、科研院所、世界500强企业、中央企业等来</w:t>
      </w:r>
      <w:r>
        <w:rPr>
          <w:rFonts w:hint="eastAsia" w:ascii="Times New Roman" w:hAnsi="Times New Roman" w:eastAsia="仿宋_GB2312" w:cs="Times New Roman"/>
          <w:i w:val="0"/>
          <w:caps w:val="0"/>
          <w:color w:val="auto"/>
          <w:spacing w:val="0"/>
          <w:sz w:val="32"/>
          <w:szCs w:val="32"/>
          <w:highlight w:val="none"/>
          <w:lang w:val="en-US" w:eastAsia="zh-CN"/>
        </w:rPr>
        <w:t>园区</w:t>
      </w:r>
      <w:r>
        <w:rPr>
          <w:rFonts w:hint="eastAsia" w:ascii="Times New Roman" w:hAnsi="Times New Roman" w:eastAsia="仿宋_GB2312" w:cs="Times New Roman"/>
          <w:i w:val="0"/>
          <w:caps w:val="0"/>
          <w:color w:val="auto"/>
          <w:spacing w:val="0"/>
          <w:sz w:val="32"/>
          <w:szCs w:val="32"/>
          <w:highlight w:val="none"/>
          <w:lang w:eastAsia="zh-CN"/>
        </w:rPr>
        <w:t>设立区域研发中心或创新研究院，围绕</w:t>
      </w:r>
      <w:r>
        <w:rPr>
          <w:rFonts w:hint="eastAsia" w:ascii="Times New Roman" w:hAnsi="Times New Roman" w:eastAsia="仿宋_GB2312" w:cs="Times New Roman"/>
          <w:i w:val="0"/>
          <w:caps w:val="0"/>
          <w:color w:val="auto"/>
          <w:spacing w:val="0"/>
          <w:sz w:val="32"/>
          <w:szCs w:val="32"/>
          <w:highlight w:val="none"/>
          <w:lang w:val="en-US" w:eastAsia="zh-CN"/>
        </w:rPr>
        <w:t>狮头鹅产业重点环节和</w:t>
      </w:r>
      <w:r>
        <w:rPr>
          <w:rFonts w:hint="eastAsia" w:ascii="Times New Roman" w:hAnsi="Times New Roman" w:eastAsia="仿宋_GB2312" w:cs="Times New Roman"/>
          <w:i w:val="0"/>
          <w:caps w:val="0"/>
          <w:color w:val="auto"/>
          <w:spacing w:val="0"/>
          <w:sz w:val="32"/>
          <w:szCs w:val="32"/>
          <w:highlight w:val="none"/>
          <w:lang w:eastAsia="zh-CN"/>
        </w:rPr>
        <w:t>产业创新发展需求，开展全产业链关键技术研发或科技成果转化等工作，采取“一事一议”形式给予支持</w:t>
      </w:r>
      <w:r>
        <w:rPr>
          <w:rFonts w:hint="eastAsia" w:ascii="Times New Roman" w:hAnsi="Times New Roman" w:cs="Times New Roman"/>
          <w:i w:val="0"/>
          <w:caps w:val="0"/>
          <w:color w:val="auto"/>
          <w:spacing w:val="0"/>
          <w:sz w:val="32"/>
          <w:szCs w:val="32"/>
          <w:highlight w:val="none"/>
          <w:lang w:eastAsia="zh-CN"/>
        </w:rPr>
        <w:t>。</w:t>
      </w:r>
    </w:p>
    <w:p w14:paraId="13B6695C">
      <w:pPr>
        <w:pStyle w:val="4"/>
        <w:keepNext w:val="0"/>
        <w:keepLines/>
        <w:pageBreakBefore w:val="0"/>
        <w:widowControl/>
        <w:kinsoku/>
        <w:wordWrap/>
        <w:overflowPunct/>
        <w:topLinePunct w:val="0"/>
        <w:autoSpaceDE/>
        <w:autoSpaceDN/>
        <w:bidi w:val="0"/>
        <w:adjustRightInd/>
        <w:snapToGrid/>
        <w:spacing w:line="590" w:lineRule="exact"/>
        <w:ind w:firstLine="643" w:firstLineChars="200"/>
        <w:textAlignment w:val="auto"/>
        <w:outlineLvl w:val="1"/>
        <w:rPr>
          <w:rFonts w:hint="eastAsia" w:ascii="Times New Roman" w:hAnsi="Times New Roman" w:eastAsia="楷体_GB2312" w:cs="楷体_GB2312"/>
          <w:b/>
          <w:bCs w:val="0"/>
          <w:color w:val="auto"/>
          <w:highlight w:val="none"/>
          <w:lang w:val="en-US" w:eastAsia="zh-CN"/>
        </w:rPr>
      </w:pPr>
      <w:bookmarkStart w:id="302" w:name="_Toc19061"/>
      <w:r>
        <w:rPr>
          <w:rFonts w:hint="eastAsia" w:ascii="Times New Roman" w:hAnsi="Times New Roman" w:eastAsia="楷体_GB2312" w:cs="楷体_GB2312"/>
          <w:b/>
          <w:bCs w:val="0"/>
          <w:color w:val="auto"/>
          <w:highlight w:val="none"/>
          <w:lang w:val="en-US" w:eastAsia="zh-CN"/>
        </w:rPr>
        <w:t>（八）完善科技创新人才服务</w:t>
      </w:r>
      <w:bookmarkEnd w:id="302"/>
    </w:p>
    <w:p w14:paraId="4CA5649A">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 w:val="32"/>
          <w:szCs w:val="32"/>
          <w:highlight w:val="none"/>
          <w:lang w:val="en-US" w:eastAsia="zh-CN"/>
        </w:rPr>
      </w:pPr>
      <w:r>
        <w:rPr>
          <w:rFonts w:hint="default" w:ascii="Times New Roman" w:hAnsi="Times New Roman" w:cs="仿宋_GB2312"/>
          <w:color w:val="auto"/>
          <w:sz w:val="32"/>
          <w:szCs w:val="32"/>
          <w:highlight w:val="none"/>
          <w:lang w:val="en-US" w:eastAsia="zh-CN"/>
        </w:rPr>
        <w:t>1.支持园区</w:t>
      </w:r>
      <w:r>
        <w:rPr>
          <w:rFonts w:hint="eastAsia" w:ascii="Times New Roman" w:hAnsi="Times New Roman" w:cs="仿宋_GB2312"/>
          <w:color w:val="auto"/>
          <w:sz w:val="32"/>
          <w:szCs w:val="32"/>
          <w:highlight w:val="none"/>
          <w:lang w:val="en-US" w:eastAsia="zh-CN"/>
        </w:rPr>
        <w:t>人才</w:t>
      </w:r>
      <w:r>
        <w:rPr>
          <w:rFonts w:hint="default" w:ascii="Times New Roman" w:hAnsi="Times New Roman" w:cs="仿宋_GB2312"/>
          <w:color w:val="auto"/>
          <w:sz w:val="32"/>
          <w:szCs w:val="32"/>
          <w:highlight w:val="none"/>
          <w:lang w:val="en-US" w:eastAsia="zh-CN"/>
        </w:rPr>
        <w:t>队伍建设</w:t>
      </w:r>
    </w:p>
    <w:p w14:paraId="741D5832">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left"/>
        <w:textAlignment w:val="auto"/>
        <w:rPr>
          <w:rFonts w:hint="default" w:ascii="Times New Roman" w:hAnsi="Times New Roman" w:eastAsia="仿宋_GB2312" w:cs="Times New Roman"/>
          <w:i w:val="0"/>
          <w:caps w:val="0"/>
          <w:color w:val="auto"/>
          <w:spacing w:val="0"/>
          <w:sz w:val="32"/>
          <w:szCs w:val="32"/>
          <w:highlight w:val="none"/>
          <w:lang w:val="en-US"/>
        </w:rPr>
      </w:pPr>
      <w:r>
        <w:rPr>
          <w:rFonts w:hint="eastAsia" w:ascii="Times New Roman" w:hAnsi="Times New Roman" w:cs="Times New Roman"/>
          <w:i w:val="0"/>
          <w:caps w:val="0"/>
          <w:color w:val="auto"/>
          <w:spacing w:val="0"/>
          <w:sz w:val="32"/>
          <w:szCs w:val="32"/>
          <w:highlight w:val="none"/>
          <w:lang w:val="en-US" w:eastAsia="zh-CN"/>
        </w:rPr>
        <w:t>支持</w:t>
      </w:r>
      <w:r>
        <w:rPr>
          <w:rFonts w:hint="default" w:ascii="Times New Roman" w:hAnsi="Times New Roman" w:eastAsia="仿宋_GB2312" w:cs="Times New Roman"/>
          <w:i w:val="0"/>
          <w:caps w:val="0"/>
          <w:color w:val="auto"/>
          <w:spacing w:val="0"/>
          <w:sz w:val="32"/>
          <w:szCs w:val="32"/>
          <w:highlight w:val="none"/>
        </w:rPr>
        <w:t>农业产业园与科研、教学和技术推广单位建立长期稳定的合作关系，</w:t>
      </w:r>
      <w:r>
        <w:rPr>
          <w:rFonts w:hint="eastAsia" w:ascii="Times New Roman" w:hAnsi="Times New Roman" w:cs="Times New Roman"/>
          <w:i w:val="0"/>
          <w:caps w:val="0"/>
          <w:color w:val="auto"/>
          <w:spacing w:val="0"/>
          <w:sz w:val="32"/>
          <w:szCs w:val="32"/>
          <w:highlight w:val="none"/>
          <w:lang w:val="en-US" w:eastAsia="zh-CN"/>
        </w:rPr>
        <w:t>提高</w:t>
      </w:r>
      <w:r>
        <w:rPr>
          <w:rFonts w:hint="default" w:ascii="Times New Roman" w:hAnsi="Times New Roman" w:eastAsia="仿宋_GB2312" w:cs="Times New Roman"/>
          <w:i w:val="0"/>
          <w:caps w:val="0"/>
          <w:color w:val="auto"/>
          <w:spacing w:val="0"/>
          <w:sz w:val="32"/>
          <w:szCs w:val="32"/>
          <w:highlight w:val="none"/>
        </w:rPr>
        <w:t>园区科技创新和技术推广能力。</w:t>
      </w:r>
      <w:r>
        <w:rPr>
          <w:rFonts w:hint="eastAsia" w:ascii="Times New Roman" w:hAnsi="Times New Roman" w:cs="Times New Roman"/>
          <w:i w:val="0"/>
          <w:caps w:val="0"/>
          <w:color w:val="auto"/>
          <w:spacing w:val="0"/>
          <w:sz w:val="32"/>
          <w:szCs w:val="32"/>
          <w:highlight w:val="none"/>
          <w:lang w:val="en-US" w:eastAsia="zh-CN"/>
        </w:rPr>
        <w:t>培育、引进专业人才，</w:t>
      </w:r>
      <w:r>
        <w:rPr>
          <w:rFonts w:hint="eastAsia" w:ascii="Times New Roman" w:hAnsi="Times New Roman" w:cs="Times New Roman"/>
          <w:b w:val="0"/>
          <w:bCs w:val="0"/>
          <w:i w:val="0"/>
          <w:caps w:val="0"/>
          <w:color w:val="auto"/>
          <w:spacing w:val="0"/>
          <w:sz w:val="32"/>
          <w:szCs w:val="32"/>
          <w:highlight w:val="none"/>
          <w:lang w:val="en-US" w:eastAsia="zh-CN"/>
        </w:rPr>
        <w:t>每年培训农业人才50人以上。</w:t>
      </w:r>
    </w:p>
    <w:p w14:paraId="39CA7BBD">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 w:val="32"/>
          <w:szCs w:val="32"/>
          <w:highlight w:val="none"/>
          <w:lang w:val="en-US" w:eastAsia="zh-CN"/>
        </w:rPr>
      </w:pPr>
      <w:r>
        <w:rPr>
          <w:rFonts w:hint="default" w:ascii="Times New Roman" w:hAnsi="Times New Roman" w:cs="仿宋_GB2312"/>
          <w:color w:val="auto"/>
          <w:sz w:val="32"/>
          <w:szCs w:val="32"/>
          <w:highlight w:val="none"/>
          <w:lang w:val="en-US" w:eastAsia="zh-CN"/>
        </w:rPr>
        <w:t>2.支持鼓励进园创业创新</w:t>
      </w:r>
    </w:p>
    <w:p w14:paraId="36619873">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left"/>
        <w:textAlignment w:val="auto"/>
        <w:rPr>
          <w:rFonts w:hint="eastAsia" w:ascii="Times New Roman" w:hAnsi="Times New Roman" w:cs="Times New Roman"/>
          <w:i w:val="0"/>
          <w:caps w:val="0"/>
          <w:color w:val="auto"/>
          <w:spacing w:val="0"/>
          <w:sz w:val="32"/>
          <w:szCs w:val="32"/>
          <w:highlight w:val="none"/>
          <w:lang w:val="en-US" w:eastAsia="zh-CN"/>
        </w:rPr>
      </w:pPr>
      <w:r>
        <w:rPr>
          <w:rFonts w:hint="default" w:ascii="Times New Roman" w:hAnsi="Times New Roman" w:cs="Times New Roman"/>
          <w:i w:val="0"/>
          <w:caps w:val="0"/>
          <w:color w:val="auto"/>
          <w:spacing w:val="0"/>
          <w:sz w:val="32"/>
          <w:szCs w:val="32"/>
          <w:highlight w:val="none"/>
          <w:lang w:val="en-US" w:eastAsia="zh-CN"/>
        </w:rPr>
        <w:t>鼓励高等院校、科研机构和科技人员进园区、创新创业，按照有关政策优先评选科研成果，优先给予政策支持</w:t>
      </w:r>
      <w:r>
        <w:rPr>
          <w:rFonts w:hint="eastAsia" w:ascii="Times New Roman" w:hAnsi="Times New Roman" w:cs="Times New Roman"/>
          <w:i w:val="0"/>
          <w:caps w:val="0"/>
          <w:color w:val="auto"/>
          <w:spacing w:val="0"/>
          <w:sz w:val="32"/>
          <w:szCs w:val="32"/>
          <w:highlight w:val="none"/>
          <w:lang w:val="en-US" w:eastAsia="zh-CN"/>
        </w:rPr>
        <w:t>。</w:t>
      </w:r>
    </w:p>
    <w:p w14:paraId="4534925C">
      <w:pPr>
        <w:pStyle w:val="3"/>
        <w:keepNext/>
        <w:pageBreakBefore w:val="0"/>
        <w:spacing w:before="0" w:beforeLines="-2147483648" w:after="0" w:afterLines="-2147483648" w:line="360" w:lineRule="auto"/>
        <w:ind w:firstLine="640" w:firstLineChars="200"/>
        <w:jc w:val="both"/>
        <w:rPr>
          <w:rFonts w:hint="eastAsia" w:ascii="Times New Roman" w:hAnsi="Times New Roman" w:cs="Times New Roman"/>
          <w:b w:val="0"/>
          <w:bCs/>
          <w:color w:val="auto"/>
          <w:szCs w:val="44"/>
          <w:highlight w:val="none"/>
          <w:lang w:val="en-US" w:eastAsia="zh-CN"/>
        </w:rPr>
      </w:pPr>
      <w:bookmarkStart w:id="303" w:name="_Toc11150"/>
      <w:r>
        <w:rPr>
          <w:rFonts w:hint="eastAsia" w:ascii="Times New Roman" w:hAnsi="Times New Roman" w:cs="Times New Roman"/>
          <w:b w:val="0"/>
          <w:bCs/>
          <w:color w:val="auto"/>
          <w:szCs w:val="44"/>
          <w:highlight w:val="none"/>
          <w:lang w:val="en-US" w:eastAsia="zh-CN"/>
        </w:rPr>
        <w:t>十一、</w:t>
      </w:r>
      <w:bookmarkEnd w:id="287"/>
      <w:r>
        <w:rPr>
          <w:rFonts w:hint="eastAsia" w:ascii="Times New Roman" w:hAnsi="Times New Roman" w:cs="Times New Roman"/>
          <w:b w:val="0"/>
          <w:bCs/>
          <w:color w:val="auto"/>
          <w:szCs w:val="44"/>
          <w:highlight w:val="none"/>
          <w:lang w:val="en-US" w:eastAsia="zh-CN"/>
        </w:rPr>
        <w:t>运行管理机制</w:t>
      </w:r>
      <w:bookmarkEnd w:id="303"/>
    </w:p>
    <w:p w14:paraId="58C2EC64">
      <w:pPr>
        <w:pStyle w:val="4"/>
        <w:keepNext w:val="0"/>
        <w:keepLines/>
        <w:pageBreakBefore w:val="0"/>
        <w:widowControl/>
        <w:kinsoku/>
        <w:wordWrap/>
        <w:overflowPunct/>
        <w:topLinePunct w:val="0"/>
        <w:autoSpaceDE/>
        <w:autoSpaceDN/>
        <w:bidi w:val="0"/>
        <w:adjustRightInd/>
        <w:snapToGrid/>
        <w:spacing w:line="590" w:lineRule="exact"/>
        <w:ind w:firstLine="643" w:firstLineChars="200"/>
        <w:textAlignment w:val="auto"/>
        <w:outlineLvl w:val="1"/>
        <w:rPr>
          <w:rFonts w:hint="eastAsia" w:ascii="Times New Roman" w:hAnsi="Times New Roman" w:eastAsia="楷体_GB2312" w:cs="楷体_GB2312"/>
          <w:b/>
          <w:bCs w:val="0"/>
          <w:color w:val="auto"/>
          <w:highlight w:val="none"/>
          <w:lang w:val="en-US" w:eastAsia="zh-CN"/>
        </w:rPr>
      </w:pPr>
      <w:bookmarkStart w:id="304" w:name="_Toc15073"/>
      <w:bookmarkStart w:id="305" w:name="_Toc28485"/>
      <w:r>
        <w:rPr>
          <w:rFonts w:hint="eastAsia" w:ascii="Times New Roman" w:hAnsi="Times New Roman" w:eastAsia="楷体_GB2312" w:cs="楷体_GB2312"/>
          <w:b/>
          <w:bCs w:val="0"/>
          <w:color w:val="auto"/>
          <w:highlight w:val="none"/>
          <w:lang w:val="en-US" w:eastAsia="zh-CN"/>
        </w:rPr>
        <w:t>（一）</w:t>
      </w:r>
      <w:bookmarkEnd w:id="288"/>
      <w:bookmarkEnd w:id="289"/>
      <w:bookmarkEnd w:id="290"/>
      <w:bookmarkEnd w:id="291"/>
      <w:bookmarkEnd w:id="292"/>
      <w:bookmarkEnd w:id="304"/>
      <w:r>
        <w:rPr>
          <w:rFonts w:hint="eastAsia" w:ascii="Times New Roman" w:hAnsi="Times New Roman" w:eastAsia="楷体_GB2312" w:cs="楷体_GB2312"/>
          <w:b/>
          <w:bCs w:val="0"/>
          <w:color w:val="auto"/>
          <w:highlight w:val="none"/>
          <w:lang w:val="en-US" w:eastAsia="zh-CN"/>
        </w:rPr>
        <w:t>组织管理机制</w:t>
      </w:r>
      <w:bookmarkEnd w:id="305"/>
    </w:p>
    <w:p w14:paraId="360F3AF0">
      <w:pPr>
        <w:keepNext w:val="0"/>
        <w:keepLines w:val="0"/>
        <w:pageBreakBefore w:val="0"/>
        <w:widowControl w:val="0"/>
        <w:kinsoku/>
        <w:wordWrap/>
        <w:overflowPunct/>
        <w:topLinePunct w:val="0"/>
        <w:autoSpaceDE/>
        <w:autoSpaceDN/>
        <w:bidi w:val="0"/>
        <w:adjustRightInd/>
        <w:snapToGrid/>
        <w:spacing w:line="590" w:lineRule="exact"/>
        <w:ind w:firstLine="640"/>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按照</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政府推动、企业主体、市场运作、效益优先</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的原则，借鉴全国先进现代农业产业园成功</w:t>
      </w:r>
      <w:r>
        <w:rPr>
          <w:rFonts w:hint="eastAsia" w:ascii="Times New Roman" w:hAnsi="Times New Roman" w:cs="Times New Roman"/>
          <w:color w:val="auto"/>
          <w:sz w:val="32"/>
          <w:highlight w:val="none"/>
          <w:lang w:eastAsia="zh-CN"/>
        </w:rPr>
        <w:t>的</w:t>
      </w:r>
      <w:r>
        <w:rPr>
          <w:rFonts w:hint="default" w:ascii="Times New Roman" w:hAnsi="Times New Roman" w:eastAsia="仿宋_GB2312" w:cs="Times New Roman"/>
          <w:color w:val="auto"/>
          <w:sz w:val="32"/>
          <w:highlight w:val="none"/>
        </w:rPr>
        <w:t>组织管理经验，拟推行</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1+1+1+N</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的组织管理模式。即一个统筹领导和协调的园区领导小组，加一个现代农业产业园管委会，加一个实力雄厚的战略投资管理公司和N个集研发、生产、加工、销售一体化的生产经营主体。</w:t>
      </w:r>
    </w:p>
    <w:p w14:paraId="4F32E74D">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Cs w:val="32"/>
          <w:highlight w:val="none"/>
          <w:lang w:val="en-US" w:eastAsia="zh-CN"/>
        </w:rPr>
      </w:pPr>
      <w:bookmarkStart w:id="306" w:name="_Toc5399"/>
      <w:bookmarkStart w:id="307" w:name="_Toc20897"/>
      <w:bookmarkStart w:id="308" w:name="_Toc30274"/>
      <w:r>
        <w:rPr>
          <w:rFonts w:hint="default" w:ascii="Times New Roman" w:hAnsi="Times New Roman" w:cs="仿宋_GB2312"/>
          <w:color w:val="auto"/>
          <w:szCs w:val="32"/>
          <w:highlight w:val="none"/>
          <w:lang w:val="en-US" w:eastAsia="zh-CN"/>
        </w:rPr>
        <w:t>1.强化产业园领导小组组织协调职能</w:t>
      </w:r>
      <w:bookmarkEnd w:id="306"/>
      <w:bookmarkEnd w:id="307"/>
      <w:bookmarkEnd w:id="308"/>
    </w:p>
    <w:p w14:paraId="5642909E">
      <w:pPr>
        <w:pageBreakBefore w:val="0"/>
        <w:kinsoku/>
        <w:overflowPunct/>
        <w:topLinePunct w:val="0"/>
        <w:autoSpaceDE/>
        <w:autoSpaceDN/>
        <w:bidi w:val="0"/>
        <w:adjustRightInd/>
        <w:snapToGrid/>
        <w:spacing w:line="590" w:lineRule="exact"/>
        <w:ind w:firstLine="64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设立建设工作小组和领导小组办公室，由区农业农村局、发改、财政、自然资源、住建等部门以及</w:t>
      </w:r>
      <w:r>
        <w:rPr>
          <w:rFonts w:hint="eastAsia" w:ascii="Times New Roman" w:hAnsi="Times New Roman" w:cs="Times New Roman"/>
          <w:color w:val="auto"/>
          <w:sz w:val="32"/>
          <w:highlight w:val="none"/>
          <w:lang w:val="en-US" w:eastAsia="zh-CN"/>
        </w:rPr>
        <w:t>8</w:t>
      </w:r>
      <w:r>
        <w:rPr>
          <w:rFonts w:hint="default" w:ascii="Times New Roman" w:hAnsi="Times New Roman" w:eastAsia="仿宋_GB2312" w:cs="Times New Roman"/>
          <w:color w:val="auto"/>
          <w:sz w:val="32"/>
          <w:highlight w:val="none"/>
        </w:rPr>
        <w:t>个镇</w:t>
      </w:r>
      <w:r>
        <w:rPr>
          <w:rFonts w:hint="eastAsia" w:ascii="Times New Roman" w:hAnsi="Times New Roman" w:cs="Times New Roman"/>
          <w:color w:val="auto"/>
          <w:sz w:val="32"/>
          <w:highlight w:val="none"/>
          <w:lang w:eastAsia="zh-CN"/>
        </w:rPr>
        <w:t>（</w:t>
      </w:r>
      <w:r>
        <w:rPr>
          <w:rFonts w:hint="eastAsia" w:ascii="Times New Roman" w:hAnsi="Times New Roman" w:cs="Times New Roman"/>
          <w:color w:val="auto"/>
          <w:sz w:val="32"/>
          <w:highlight w:val="none"/>
          <w:lang w:val="en-US" w:eastAsia="zh-CN"/>
        </w:rPr>
        <w:t>街道</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主要负责人参与，统筹推进产业园公用基础设施项目的建设和管理，组织招商引资，负责产业园内土地流转、企业准入、农业项目管理和指导，协调解决产业园建设过程中遇到的相关问题等，形成责权一致、效能统一的组织管理体系。</w:t>
      </w:r>
    </w:p>
    <w:p w14:paraId="78D2B41A">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Cs w:val="32"/>
          <w:highlight w:val="none"/>
          <w:lang w:val="en-US" w:eastAsia="zh-CN"/>
        </w:rPr>
      </w:pPr>
      <w:bookmarkStart w:id="309" w:name="_Toc23308"/>
      <w:bookmarkStart w:id="310" w:name="_Toc23408"/>
      <w:bookmarkStart w:id="311" w:name="_Toc19577"/>
      <w:r>
        <w:rPr>
          <w:rFonts w:hint="default" w:ascii="Times New Roman" w:hAnsi="Times New Roman" w:cs="仿宋_GB2312"/>
          <w:color w:val="auto"/>
          <w:szCs w:val="32"/>
          <w:highlight w:val="none"/>
          <w:lang w:val="en-US" w:eastAsia="zh-CN"/>
        </w:rPr>
        <w:t>2.提升产业园管理委员会职责履行职能</w:t>
      </w:r>
      <w:bookmarkEnd w:id="309"/>
      <w:bookmarkEnd w:id="310"/>
      <w:bookmarkEnd w:id="311"/>
    </w:p>
    <w:p w14:paraId="19D1742C">
      <w:pPr>
        <w:pageBreakBefore w:val="0"/>
        <w:kinsoku/>
        <w:overflowPunct/>
        <w:topLinePunct w:val="0"/>
        <w:autoSpaceDE/>
        <w:autoSpaceDN/>
        <w:bidi w:val="0"/>
        <w:adjustRightInd/>
        <w:snapToGrid/>
        <w:spacing w:line="590" w:lineRule="exact"/>
        <w:ind w:firstLine="64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全面履行产业园建设小组的重要决策，负责产业园内公益项目的运营、基础设施维护以及企业间协调工作，负责已入驻企业的管理及新企业引进、园区内日常事务、园区收入与支出管理、政府企业农民三方利益协调等。落实国家有关政策和地方配套政策、制定园区对接政策；协调各政府职能部门之间与园区建设相关工作，营造高效、精简的行政服务环境，推动园区建设的快速、有序、健康发展。</w:t>
      </w:r>
    </w:p>
    <w:p w14:paraId="636C6442">
      <w:pPr>
        <w:pStyle w:val="4"/>
        <w:keepNext w:val="0"/>
        <w:keepLines/>
        <w:pageBreakBefore w:val="0"/>
        <w:widowControl w:val="0"/>
        <w:kinsoku/>
        <w:wordWrap/>
        <w:overflowPunct/>
        <w:topLinePunct w:val="0"/>
        <w:autoSpaceDE/>
        <w:autoSpaceDN/>
        <w:bidi w:val="0"/>
        <w:adjustRightInd/>
        <w:snapToGrid/>
        <w:spacing w:line="590" w:lineRule="exact"/>
        <w:ind w:firstLine="643" w:firstLineChars="200"/>
        <w:textAlignment w:val="auto"/>
        <w:outlineLvl w:val="1"/>
        <w:rPr>
          <w:rFonts w:hint="default" w:ascii="Times New Roman" w:hAnsi="Times New Roman" w:eastAsia="楷体_GB2312" w:cs="楷体_GB2312"/>
          <w:b w:val="0"/>
          <w:bCs/>
          <w:color w:val="auto"/>
          <w:highlight w:val="none"/>
          <w:lang w:val="en-US" w:eastAsia="zh-CN"/>
        </w:rPr>
      </w:pPr>
      <w:bookmarkStart w:id="312" w:name="_Toc10135"/>
      <w:bookmarkStart w:id="313" w:name="_Toc18661"/>
      <w:bookmarkStart w:id="314" w:name="_Toc16049"/>
      <w:bookmarkStart w:id="315" w:name="_Toc21300"/>
      <w:bookmarkStart w:id="316" w:name="_Toc3909"/>
      <w:bookmarkStart w:id="317" w:name="_Toc19086"/>
      <w:bookmarkStart w:id="318" w:name="_Toc2270"/>
      <w:r>
        <w:rPr>
          <w:rFonts w:hint="eastAsia" w:ascii="Times New Roman" w:hAnsi="Times New Roman" w:eastAsia="楷体_GB2312" w:cs="楷体_GB2312"/>
          <w:b/>
          <w:bCs w:val="0"/>
          <w:color w:val="auto"/>
          <w:highlight w:val="none"/>
          <w:lang w:val="en-US" w:eastAsia="zh-CN"/>
        </w:rPr>
        <w:t>（二）运行机制</w:t>
      </w:r>
      <w:bookmarkEnd w:id="312"/>
      <w:bookmarkEnd w:id="313"/>
      <w:bookmarkEnd w:id="314"/>
      <w:bookmarkEnd w:id="315"/>
      <w:bookmarkEnd w:id="316"/>
      <w:bookmarkEnd w:id="317"/>
      <w:bookmarkEnd w:id="318"/>
    </w:p>
    <w:p w14:paraId="146DA566">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Cs w:val="32"/>
          <w:highlight w:val="none"/>
          <w:lang w:val="en-US" w:eastAsia="zh-CN"/>
        </w:rPr>
      </w:pPr>
      <w:bookmarkStart w:id="319" w:name="_Toc19519"/>
      <w:bookmarkStart w:id="320" w:name="_Toc5185"/>
      <w:bookmarkStart w:id="321" w:name="_Toc26267"/>
      <w:r>
        <w:rPr>
          <w:rFonts w:hint="default" w:ascii="Times New Roman" w:hAnsi="Times New Roman" w:cs="仿宋_GB2312"/>
          <w:color w:val="auto"/>
          <w:szCs w:val="32"/>
          <w:highlight w:val="none"/>
          <w:lang w:val="en-US" w:eastAsia="zh-CN"/>
        </w:rPr>
        <w:t>1.建立产业园投资运营公司</w:t>
      </w:r>
      <w:bookmarkEnd w:id="319"/>
      <w:bookmarkEnd w:id="320"/>
      <w:bookmarkEnd w:id="321"/>
    </w:p>
    <w:p w14:paraId="5263D572">
      <w:pPr>
        <w:pageBreakBefore w:val="0"/>
        <w:kinsoku/>
        <w:overflowPunct/>
        <w:topLinePunct w:val="0"/>
        <w:autoSpaceDE/>
        <w:autoSpaceDN/>
        <w:bidi w:val="0"/>
        <w:adjustRightInd/>
        <w:snapToGrid/>
        <w:spacing w:line="590" w:lineRule="exact"/>
        <w:ind w:firstLine="640"/>
        <w:rPr>
          <w:rFonts w:hint="default" w:ascii="Times New Roman" w:hAnsi="Times New Roman" w:eastAsia="仿宋_GB2312" w:cs="Times New Roman"/>
          <w:color w:val="auto"/>
          <w:sz w:val="32"/>
          <w:highlight w:val="none"/>
        </w:rPr>
      </w:pPr>
      <w:r>
        <w:rPr>
          <w:rFonts w:hint="eastAsia" w:ascii="Times New Roman" w:hAnsi="Times New Roman"/>
          <w:b w:val="0"/>
          <w:bCs w:val="0"/>
          <w:color w:val="auto"/>
          <w:highlight w:val="none"/>
          <w:lang w:val="en-US" w:eastAsia="zh-CN"/>
        </w:rPr>
        <w:t>产业园以汕头市澄海区振农投资发展有限公司（国资委下属国有企业）作为产业园平台企业，</w:t>
      </w:r>
      <w:r>
        <w:rPr>
          <w:rFonts w:hint="default" w:ascii="Times New Roman" w:hAnsi="Times New Roman" w:eastAsia="仿宋_GB2312" w:cs="Times New Roman"/>
          <w:color w:val="auto"/>
          <w:sz w:val="32"/>
          <w:highlight w:val="none"/>
        </w:rPr>
        <w:t>引入专业运营团队，承担园区经营管理和战略投资等运营管理职能，负责资金运作、基础设施和公共服务设施建设等工作，确保园区建设扎实、规范、有序进行，做好国家级现代农业产业园的运营管理服务工作。在</w:t>
      </w:r>
      <w:r>
        <w:rPr>
          <w:rFonts w:hint="eastAsia" w:ascii="Times New Roman" w:hAnsi="Times New Roman" w:cs="Times New Roman"/>
          <w:color w:val="auto"/>
          <w:sz w:val="32"/>
          <w:highlight w:val="none"/>
          <w:lang w:val="en-US" w:eastAsia="zh-CN"/>
        </w:rPr>
        <w:t>平台企业</w:t>
      </w:r>
      <w:r>
        <w:rPr>
          <w:rFonts w:hint="default" w:ascii="Times New Roman" w:hAnsi="Times New Roman" w:eastAsia="仿宋_GB2312" w:cs="Times New Roman"/>
          <w:color w:val="auto"/>
          <w:sz w:val="32"/>
          <w:highlight w:val="none"/>
        </w:rPr>
        <w:t>内部设立现代农业产业园投融资管理服务平台，引导社会上农业投资公司、农业基金等资本深入参与到产业园建设中。建立完善产业园投资运营公司考核机制，由产业园管理委员会负责与运营公司依据合同约定，按照产业园监测指标评价体系绩效考核结果兑现奖惩，以促进产业园可持续发展和保障运营公司获得稳定合理收益。</w:t>
      </w:r>
    </w:p>
    <w:p w14:paraId="4672F9E3">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Cs w:val="32"/>
          <w:highlight w:val="none"/>
          <w:lang w:val="en-US" w:eastAsia="zh-CN"/>
        </w:rPr>
      </w:pPr>
      <w:bookmarkStart w:id="322" w:name="_Toc11915"/>
      <w:bookmarkStart w:id="323" w:name="_Toc5193"/>
      <w:bookmarkStart w:id="324" w:name="_Toc30681"/>
      <w:r>
        <w:rPr>
          <w:rFonts w:hint="default" w:ascii="Times New Roman" w:hAnsi="Times New Roman" w:cs="仿宋_GB2312"/>
          <w:color w:val="auto"/>
          <w:szCs w:val="32"/>
          <w:highlight w:val="none"/>
          <w:lang w:val="en-US" w:eastAsia="zh-CN"/>
        </w:rPr>
        <w:t>2.建立四级政府联创共建工作机制</w:t>
      </w:r>
      <w:bookmarkEnd w:id="322"/>
      <w:bookmarkEnd w:id="323"/>
      <w:bookmarkEnd w:id="324"/>
    </w:p>
    <w:p w14:paraId="0F02B843">
      <w:pPr>
        <w:pageBreakBefore w:val="0"/>
        <w:kinsoku/>
        <w:overflowPunct/>
        <w:topLinePunct w:val="0"/>
        <w:autoSpaceDE/>
        <w:autoSpaceDN/>
        <w:bidi w:val="0"/>
        <w:adjustRightInd/>
        <w:snapToGrid/>
        <w:spacing w:line="590" w:lineRule="exact"/>
        <w:ind w:firstLine="640"/>
        <w:jc w:val="left"/>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依托现代农业产业园建设的政策平台，与省、市、区等现代农业产业园</w:t>
      </w:r>
      <w:r>
        <w:rPr>
          <w:rFonts w:hint="eastAsia" w:ascii="Times New Roman" w:hAnsi="Times New Roman" w:cs="Times New Roman"/>
          <w:color w:val="auto"/>
          <w:sz w:val="32"/>
          <w:highlight w:val="none"/>
          <w:lang w:eastAsia="zh-CN"/>
        </w:rPr>
        <w:t>建设</w:t>
      </w:r>
      <w:r>
        <w:rPr>
          <w:rFonts w:hint="default" w:ascii="Times New Roman" w:hAnsi="Times New Roman" w:eastAsia="仿宋_GB2312" w:cs="Times New Roman"/>
          <w:color w:val="auto"/>
          <w:sz w:val="32"/>
          <w:highlight w:val="none"/>
        </w:rPr>
        <w:t>工作紧密结合，形成四级联创的工作机制。依托上下贯通的四级联创机制，对接争取中央、省级政府部门的特色小镇、农业公园、田园综合体、美丽乡村重大项目支持，整合四级政府政策资源，强化现代农业产业园建设投入，加大改革创新力度，争取省、市现代农业政策的倾斜投入，形成参与主体多元化、协同创新、联创共建格局。</w:t>
      </w:r>
    </w:p>
    <w:p w14:paraId="648F2669">
      <w:pPr>
        <w:pStyle w:val="4"/>
        <w:keepNext w:val="0"/>
        <w:keepLines/>
        <w:pageBreakBefore w:val="0"/>
        <w:widowControl/>
        <w:kinsoku/>
        <w:wordWrap/>
        <w:overflowPunct/>
        <w:topLinePunct w:val="0"/>
        <w:autoSpaceDE/>
        <w:autoSpaceDN/>
        <w:bidi w:val="0"/>
        <w:adjustRightInd/>
        <w:snapToGrid/>
        <w:spacing w:line="590" w:lineRule="exact"/>
        <w:ind w:firstLine="643" w:firstLineChars="200"/>
        <w:textAlignment w:val="auto"/>
        <w:outlineLvl w:val="1"/>
        <w:rPr>
          <w:rFonts w:hint="eastAsia" w:ascii="Times New Roman" w:hAnsi="Times New Roman" w:eastAsia="楷体_GB2312" w:cs="楷体_GB2312"/>
          <w:b/>
          <w:bCs w:val="0"/>
          <w:color w:val="auto"/>
          <w:highlight w:val="none"/>
          <w:lang w:val="en-US" w:eastAsia="zh-CN"/>
        </w:rPr>
      </w:pPr>
      <w:bookmarkStart w:id="325" w:name="_Toc29461"/>
      <w:bookmarkStart w:id="326" w:name="_Toc12640"/>
      <w:bookmarkStart w:id="327" w:name="_Toc288"/>
      <w:bookmarkStart w:id="328" w:name="_Toc4128"/>
      <w:bookmarkStart w:id="329" w:name="_Toc13702"/>
      <w:bookmarkStart w:id="330" w:name="_Toc15864"/>
      <w:bookmarkStart w:id="331" w:name="_Toc1003"/>
      <w:r>
        <w:rPr>
          <w:rFonts w:hint="eastAsia" w:ascii="Times New Roman" w:hAnsi="Times New Roman" w:eastAsia="楷体_GB2312" w:cs="楷体_GB2312"/>
          <w:b/>
          <w:bCs w:val="0"/>
          <w:color w:val="auto"/>
          <w:highlight w:val="none"/>
          <w:lang w:val="en-US" w:eastAsia="zh-CN"/>
        </w:rPr>
        <w:t>（三）创新投融资体制机制</w:t>
      </w:r>
      <w:bookmarkEnd w:id="325"/>
      <w:bookmarkEnd w:id="326"/>
      <w:bookmarkEnd w:id="327"/>
      <w:bookmarkEnd w:id="328"/>
      <w:bookmarkEnd w:id="329"/>
      <w:bookmarkEnd w:id="330"/>
      <w:bookmarkEnd w:id="331"/>
    </w:p>
    <w:p w14:paraId="4E8BFE03">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Cs w:val="32"/>
          <w:highlight w:val="none"/>
          <w:lang w:val="en-US" w:eastAsia="zh-CN"/>
        </w:rPr>
      </w:pPr>
      <w:bookmarkStart w:id="332" w:name="_Toc26150"/>
      <w:bookmarkStart w:id="333" w:name="_Toc30595"/>
      <w:bookmarkStart w:id="334" w:name="_Toc5632"/>
      <w:r>
        <w:rPr>
          <w:rFonts w:hint="default" w:ascii="Times New Roman" w:hAnsi="Times New Roman" w:cs="仿宋_GB2312"/>
          <w:color w:val="auto"/>
          <w:szCs w:val="32"/>
          <w:highlight w:val="none"/>
          <w:lang w:val="en-US" w:eastAsia="zh-CN"/>
        </w:rPr>
        <w:t>1.积极发展新型金融业态</w:t>
      </w:r>
      <w:bookmarkEnd w:id="332"/>
      <w:bookmarkEnd w:id="333"/>
      <w:bookmarkEnd w:id="334"/>
    </w:p>
    <w:p w14:paraId="0F9A43C7">
      <w:pPr>
        <w:pageBreakBefore w:val="0"/>
        <w:kinsoku/>
        <w:overflowPunct/>
        <w:topLinePunct w:val="0"/>
        <w:autoSpaceDE/>
        <w:autoSpaceDN/>
        <w:bidi w:val="0"/>
        <w:adjustRightInd/>
        <w:snapToGrid/>
        <w:spacing w:line="590" w:lineRule="exact"/>
        <w:ind w:firstLine="64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支持新型经营主体通过私募基金、股权基金、</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政银保</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合作农业贷款、</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融资+保险+农业产业</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等以服务</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三农</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为主要内容的农村普惠金融等渠道筹集资金，鼓励推进涉农企业改制上市、新三板挂牌及进入区域股权交易市场挂牌，引导大型企业成立财务公司。积极发展小微型金融组织，围绕现代农业各类新型经营主体的小额贷款需求，鼓励民间资本参与组建村镇银行，重点服务小微型的新型经营主体。研究出台指导性意见，对农民专业合作社开展信用合作进行规范，切实加强风险监管，选择有条件的转制为农村资金互助社。</w:t>
      </w:r>
    </w:p>
    <w:p w14:paraId="7EB8E069">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Cs w:val="32"/>
          <w:highlight w:val="none"/>
        </w:rPr>
      </w:pPr>
      <w:bookmarkStart w:id="335" w:name="_Toc22333"/>
      <w:bookmarkStart w:id="336" w:name="_Toc19683"/>
      <w:bookmarkStart w:id="337" w:name="_Toc24642"/>
      <w:r>
        <w:rPr>
          <w:rFonts w:hint="default" w:ascii="Times New Roman" w:hAnsi="Times New Roman" w:cs="仿宋_GB2312"/>
          <w:color w:val="auto"/>
          <w:szCs w:val="32"/>
          <w:highlight w:val="none"/>
          <w:lang w:val="en-US" w:eastAsia="zh-CN"/>
        </w:rPr>
        <w:t>2.</w:t>
      </w:r>
      <w:r>
        <w:rPr>
          <w:rFonts w:hint="default" w:ascii="Times New Roman" w:hAnsi="Times New Roman" w:cs="仿宋_GB2312"/>
          <w:color w:val="auto"/>
          <w:szCs w:val="32"/>
          <w:highlight w:val="none"/>
        </w:rPr>
        <w:t>强化政策性担保平台建设</w:t>
      </w:r>
      <w:bookmarkEnd w:id="335"/>
      <w:bookmarkEnd w:id="336"/>
      <w:bookmarkEnd w:id="337"/>
    </w:p>
    <w:p w14:paraId="5C53D1BD">
      <w:pPr>
        <w:pageBreakBefore w:val="0"/>
        <w:kinsoku/>
        <w:overflowPunct/>
        <w:topLinePunct w:val="0"/>
        <w:autoSpaceDE/>
        <w:autoSpaceDN/>
        <w:bidi w:val="0"/>
        <w:adjustRightInd/>
        <w:snapToGrid/>
        <w:spacing w:line="590" w:lineRule="exact"/>
        <w:ind w:firstLine="64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设立区农业贷款担保基金900万元，引导银行业金融机构以农业贷款担保基金为担保，解决产业园狮头鹅产业企业或农户贷款难的问题。依托全区现代农业担保平台，进一步探索</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政银保</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融资模式，为农业保险、银行等机构提供反担保平台，分散融资风险。加快完善农业经营主体的信用</w:t>
      </w:r>
      <w:r>
        <w:rPr>
          <w:rFonts w:hint="eastAsia" w:ascii="Times New Roman" w:hAnsi="Times New Roman" w:cs="Times New Roman"/>
          <w:color w:val="auto"/>
          <w:sz w:val="32"/>
          <w:highlight w:val="none"/>
          <w:lang w:eastAsia="zh-CN"/>
        </w:rPr>
        <w:t>体系建设</w:t>
      </w:r>
      <w:r>
        <w:rPr>
          <w:rFonts w:hint="default" w:ascii="Times New Roman" w:hAnsi="Times New Roman" w:eastAsia="仿宋_GB2312" w:cs="Times New Roman"/>
          <w:color w:val="auto"/>
          <w:sz w:val="32"/>
          <w:highlight w:val="none"/>
        </w:rPr>
        <w:t>，广泛采集农户信用信息，普遍建立信用档案，科学评定信用户和信用村镇，加强信用信息整合共享，并强化失信惩戒。创新新型农村经营组织</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评级+贷款</w:t>
      </w:r>
      <w:r>
        <w:rPr>
          <w:rFonts w:hint="eastAsia" w:ascii="Times New Roman" w:hAnsi="Times New Roman" w:cs="Times New Roman"/>
          <w:color w:val="auto"/>
          <w:sz w:val="32"/>
          <w:highlight w:val="none"/>
          <w:lang w:eastAsia="zh-CN"/>
        </w:rPr>
        <w:t>”</w:t>
      </w:r>
      <w:r>
        <w:rPr>
          <w:rFonts w:hint="default" w:ascii="Times New Roman" w:hAnsi="Times New Roman" w:eastAsia="仿宋_GB2312" w:cs="Times New Roman"/>
          <w:color w:val="auto"/>
          <w:sz w:val="32"/>
          <w:highlight w:val="none"/>
        </w:rPr>
        <w:t>方式，依托外部或内部评级机构，对家庭农场、农民专业合作社等新型农业经营主体进行评级，银行机构根据评级结果发放信用贷款。加强涉农信贷与涉农保险合作，将涉农保险投保情况作为授信要素，探索拓宽涉农保险保单质押范围。发挥政府投资撬动作用，转变农业投资方式，开展农业补贴资金质押贷款，明确农业补贴资金种类与金额，锁定农业补贴资金账户管理，探索以农业资金补贴为质押发放贷款的具体流程与途径。</w:t>
      </w:r>
      <w:bookmarkStart w:id="338" w:name="_Toc58"/>
      <w:bookmarkStart w:id="339" w:name="_Toc21513"/>
      <w:bookmarkStart w:id="340" w:name="_Toc12708"/>
      <w:bookmarkStart w:id="341" w:name="_Toc24030"/>
      <w:bookmarkStart w:id="342" w:name="_Toc9390"/>
    </w:p>
    <w:p w14:paraId="05C1520F">
      <w:pPr>
        <w:pStyle w:val="3"/>
        <w:keepNext/>
        <w:pageBreakBefore w:val="0"/>
        <w:spacing w:before="0" w:beforeLines="-2147483648" w:after="0" w:afterLines="-2147483648" w:line="360" w:lineRule="auto"/>
        <w:ind w:firstLine="640" w:firstLineChars="200"/>
        <w:jc w:val="both"/>
        <w:rPr>
          <w:rFonts w:hint="eastAsia" w:ascii="Times New Roman" w:hAnsi="Times New Roman" w:cs="Times New Roman"/>
          <w:b w:val="0"/>
          <w:bCs/>
          <w:color w:val="auto"/>
          <w:szCs w:val="44"/>
          <w:highlight w:val="none"/>
          <w:lang w:val="en-US" w:eastAsia="zh-CN"/>
        </w:rPr>
      </w:pPr>
      <w:bookmarkStart w:id="343" w:name="_Toc334"/>
      <w:r>
        <w:rPr>
          <w:rFonts w:hint="eastAsia" w:ascii="Times New Roman" w:hAnsi="Times New Roman" w:cs="Times New Roman"/>
          <w:b w:val="0"/>
          <w:bCs/>
          <w:color w:val="auto"/>
          <w:szCs w:val="44"/>
          <w:highlight w:val="none"/>
          <w:lang w:val="en-US" w:eastAsia="zh-CN"/>
        </w:rPr>
        <w:t>十二、保障措施</w:t>
      </w:r>
      <w:bookmarkEnd w:id="343"/>
    </w:p>
    <w:bookmarkEnd w:id="338"/>
    <w:bookmarkEnd w:id="339"/>
    <w:bookmarkEnd w:id="340"/>
    <w:bookmarkEnd w:id="341"/>
    <w:bookmarkEnd w:id="342"/>
    <w:p w14:paraId="593588FF">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Cs w:val="32"/>
          <w:highlight w:val="none"/>
          <w:lang w:val="en-US" w:eastAsia="zh-CN"/>
        </w:rPr>
      </w:pPr>
      <w:bookmarkStart w:id="344" w:name="_Toc3659"/>
      <w:bookmarkStart w:id="345" w:name="_Toc1926"/>
      <w:bookmarkStart w:id="346" w:name="_Toc25122"/>
      <w:bookmarkStart w:id="347" w:name="_Toc20613"/>
      <w:r>
        <w:rPr>
          <w:rFonts w:hint="default" w:ascii="Times New Roman" w:hAnsi="Times New Roman" w:cs="仿宋_GB2312"/>
          <w:color w:val="auto"/>
          <w:szCs w:val="32"/>
          <w:highlight w:val="none"/>
          <w:lang w:val="en-US" w:eastAsia="zh-CN"/>
        </w:rPr>
        <w:t>1.完善组织领导工作推进机制</w:t>
      </w:r>
      <w:bookmarkEnd w:id="344"/>
      <w:bookmarkEnd w:id="345"/>
      <w:bookmarkEnd w:id="346"/>
      <w:bookmarkEnd w:id="347"/>
    </w:p>
    <w:p w14:paraId="4ACF0A91">
      <w:pPr>
        <w:pageBreakBefore w:val="0"/>
        <w:kinsoku/>
        <w:overflowPunct/>
        <w:topLinePunct w:val="0"/>
        <w:autoSpaceDE/>
        <w:autoSpaceDN/>
        <w:bidi w:val="0"/>
        <w:adjustRightInd/>
        <w:snapToGrid/>
        <w:spacing w:line="590" w:lineRule="exact"/>
        <w:ind w:firstLine="64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澄海区委区政府高度重视现代农业产业园建设，把国家现代农业产业园建设纳入政府主要议事日程。为了强化产业园领导小组工作职责，澄海区按照国家现代农业产业园</w:t>
      </w:r>
      <w:r>
        <w:rPr>
          <w:rFonts w:hint="eastAsia" w:ascii="Times New Roman" w:hAnsi="Times New Roman" w:cs="Times New Roman"/>
          <w:color w:val="auto"/>
          <w:sz w:val="32"/>
          <w:highlight w:val="none"/>
          <w:lang w:eastAsia="zh-CN"/>
        </w:rPr>
        <w:t>建设</w:t>
      </w:r>
      <w:r>
        <w:rPr>
          <w:rFonts w:hint="default" w:ascii="Times New Roman" w:hAnsi="Times New Roman" w:eastAsia="仿宋_GB2312" w:cs="Times New Roman"/>
          <w:color w:val="auto"/>
          <w:sz w:val="32"/>
          <w:highlight w:val="none"/>
        </w:rPr>
        <w:t>要求，具体落实的责任机制，成立了澄海区现代农业产业园建设领导小组和管委会，由区长胡记杰同志任组长，各有关部门领导及镇街主要领导组成的现代农业产业园建设领导小组、管委会，负责组织领导、统筹规划、政策研究、综合协调，组织检查、验收成果等工作，建立绩效制度，形成政府统一领导、部门齐抓共管、社会广泛参与的工作机制。</w:t>
      </w:r>
    </w:p>
    <w:p w14:paraId="24B0EAA7">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Cs w:val="32"/>
          <w:highlight w:val="none"/>
          <w:lang w:val="en-US" w:eastAsia="zh-CN"/>
        </w:rPr>
      </w:pPr>
      <w:r>
        <w:rPr>
          <w:rFonts w:hint="default" w:ascii="Times New Roman" w:hAnsi="Times New Roman" w:cs="仿宋_GB2312"/>
          <w:color w:val="auto"/>
          <w:szCs w:val="32"/>
          <w:highlight w:val="none"/>
          <w:lang w:val="en-US" w:eastAsia="zh-CN"/>
        </w:rPr>
        <w:t>2.增强服务支撑</w:t>
      </w:r>
    </w:p>
    <w:p w14:paraId="285EB954">
      <w:pPr>
        <w:pageBreakBefore w:val="0"/>
        <w:kinsoku/>
        <w:overflowPunct/>
        <w:topLinePunct w:val="0"/>
        <w:autoSpaceDE/>
        <w:autoSpaceDN/>
        <w:bidi w:val="0"/>
        <w:adjustRightInd/>
        <w:snapToGrid/>
        <w:spacing w:line="590" w:lineRule="exact"/>
        <w:ind w:firstLine="64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在产业园管委会的统一组织推动下，通过政府、协会、企业搭建合作平台，加强与广东省农科院、华南农业大学、仲恺农业工程学院和广东省海洋大学等多</w:t>
      </w:r>
      <w:r>
        <w:rPr>
          <w:rFonts w:hint="eastAsia" w:ascii="Times New Roman" w:hAnsi="Times New Roman" w:cs="Times New Roman"/>
          <w:color w:val="auto"/>
          <w:sz w:val="32"/>
          <w:highlight w:val="none"/>
          <w:lang w:eastAsia="zh-CN"/>
        </w:rPr>
        <w:t>所</w:t>
      </w:r>
      <w:r>
        <w:rPr>
          <w:rFonts w:hint="default" w:ascii="Times New Roman" w:hAnsi="Times New Roman" w:eastAsia="仿宋_GB2312" w:cs="Times New Roman"/>
          <w:color w:val="auto"/>
          <w:sz w:val="32"/>
          <w:highlight w:val="none"/>
        </w:rPr>
        <w:t>高等院校和研究机构的密切合作，建立起多领域、多层次、多形式的研究开发基地和联合体，形成多渠道、多平台、多资源融合的新局面；完善成果专利交易政策咨询、成果供需发布、价值评估、技术熟化及改进升级等服务，引入金融机构和中介服务机构，创新金融产品和服务模式，为科技成果中试、产业化推广提供融资支持，以市场化机制促进科技成果转化应用；在吸纳农业经济、财政、金融、政策、工程等相关领域专家组成专家顾问团的基础上，细分行业领域组建专家委员会，指导重大建设项目的组织实施与考核评估，确保项目实施效果。</w:t>
      </w:r>
    </w:p>
    <w:p w14:paraId="14076D34">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Cs w:val="32"/>
          <w:highlight w:val="none"/>
          <w:lang w:val="en-US" w:eastAsia="zh-CN"/>
        </w:rPr>
      </w:pPr>
      <w:bookmarkStart w:id="348" w:name="_Toc22078"/>
      <w:bookmarkStart w:id="349" w:name="_Toc27592"/>
      <w:bookmarkStart w:id="350" w:name="_Toc25630"/>
      <w:bookmarkStart w:id="351" w:name="_Toc7128"/>
      <w:r>
        <w:rPr>
          <w:rFonts w:hint="default" w:ascii="Times New Roman" w:hAnsi="Times New Roman" w:cs="仿宋_GB2312"/>
          <w:color w:val="auto"/>
          <w:szCs w:val="32"/>
          <w:highlight w:val="none"/>
          <w:lang w:val="en-US" w:eastAsia="zh-CN"/>
        </w:rPr>
        <w:t>3.强化考核督查</w:t>
      </w:r>
      <w:bookmarkEnd w:id="348"/>
      <w:bookmarkEnd w:id="349"/>
      <w:bookmarkEnd w:id="350"/>
      <w:bookmarkEnd w:id="351"/>
    </w:p>
    <w:p w14:paraId="41897242">
      <w:pPr>
        <w:pageBreakBefore w:val="0"/>
        <w:kinsoku/>
        <w:overflowPunct/>
        <w:topLinePunct w:val="0"/>
        <w:autoSpaceDE/>
        <w:autoSpaceDN/>
        <w:bidi w:val="0"/>
        <w:adjustRightInd/>
        <w:snapToGrid/>
        <w:spacing w:line="590" w:lineRule="exact"/>
        <w:ind w:firstLine="64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建立绩效制度，把产业园建设工作纳入政府绩效管理目标，建立区、镇两级产业园建设目标责任制，逐级分解任务，签订责任状，严格检查考核，奖惩分明。产业园管委会及区政府办、农业农村局、财政局、发展和改革局、自然资源局、住房和城乡建设局、水务局、文化广电旅游体育局、市场监督管理局、交通运输局、工信局等部门要明确责任分工，密切配合，全面落实各项工作目标任务。建立并完善联络员制度、会议制度、信息通报制度，分年度制定工作要点，协调解决实施国家现代农业产业园</w:t>
      </w:r>
      <w:r>
        <w:rPr>
          <w:rFonts w:hint="eastAsia" w:ascii="Times New Roman" w:hAnsi="Times New Roman" w:cs="Times New Roman"/>
          <w:color w:val="auto"/>
          <w:sz w:val="32"/>
          <w:highlight w:val="none"/>
          <w:lang w:eastAsia="zh-CN"/>
        </w:rPr>
        <w:t>建设</w:t>
      </w:r>
      <w:r>
        <w:rPr>
          <w:rFonts w:hint="default" w:ascii="Times New Roman" w:hAnsi="Times New Roman" w:eastAsia="仿宋_GB2312" w:cs="Times New Roman"/>
          <w:color w:val="auto"/>
          <w:sz w:val="32"/>
          <w:highlight w:val="none"/>
        </w:rPr>
        <w:t>中的重大事项、合力推进重点项目建设。建立重大项目领导联系制和专人负责制，提高行政效能，加强对重大项目推进实施的跟踪服务。细化制定产业园绩效评价考核制度，建立奖惩机制。强化考核结果运用，实行责任追究制度，对完成任务好的单位及个人通报表扬及政策奖励；对完成任务较差、落实不力的通报批评并进行问责。</w:t>
      </w:r>
    </w:p>
    <w:p w14:paraId="0C9FB869">
      <w:pPr>
        <w:pStyle w:val="4"/>
        <w:pageBreakBefore w:val="0"/>
        <w:kinsoku/>
        <w:overflowPunct/>
        <w:topLinePunct w:val="0"/>
        <w:autoSpaceDE/>
        <w:autoSpaceDN/>
        <w:bidi w:val="0"/>
        <w:adjustRightInd/>
        <w:snapToGrid/>
        <w:spacing w:line="240" w:lineRule="auto"/>
        <w:ind w:firstLine="643"/>
        <w:rPr>
          <w:rFonts w:hint="default" w:ascii="Times New Roman" w:hAnsi="Times New Roman" w:cs="仿宋_GB2312"/>
          <w:color w:val="auto"/>
          <w:szCs w:val="32"/>
          <w:highlight w:val="none"/>
          <w:lang w:val="en-US" w:eastAsia="zh-CN"/>
        </w:rPr>
      </w:pPr>
      <w:bookmarkStart w:id="352" w:name="_Toc22194"/>
      <w:bookmarkStart w:id="353" w:name="_Toc328"/>
      <w:bookmarkStart w:id="354" w:name="_Toc871"/>
      <w:bookmarkStart w:id="355" w:name="_Toc10576"/>
      <w:r>
        <w:rPr>
          <w:rFonts w:hint="default" w:ascii="Times New Roman" w:hAnsi="Times New Roman" w:cs="仿宋_GB2312"/>
          <w:color w:val="auto"/>
          <w:szCs w:val="32"/>
          <w:highlight w:val="none"/>
          <w:lang w:val="en-US" w:eastAsia="zh-CN"/>
        </w:rPr>
        <w:t>4.开展广泛宣传</w:t>
      </w:r>
      <w:bookmarkEnd w:id="352"/>
      <w:bookmarkEnd w:id="353"/>
      <w:bookmarkEnd w:id="354"/>
      <w:bookmarkEnd w:id="355"/>
    </w:p>
    <w:p w14:paraId="3E5FCE8E">
      <w:pPr>
        <w:pageBreakBefore w:val="0"/>
        <w:kinsoku/>
        <w:overflowPunct/>
        <w:topLinePunct w:val="0"/>
        <w:autoSpaceDE/>
        <w:autoSpaceDN/>
        <w:bidi w:val="0"/>
        <w:adjustRightInd/>
        <w:snapToGrid/>
        <w:spacing w:line="590" w:lineRule="exact"/>
        <w:ind w:firstLine="64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实施现代农业产业园建设工作，需要各职能部门、各乡镇街道、各村居、广大农民群众、农业企业、农民专业合作社等的共同参与。一方面，加大对</w:t>
      </w:r>
      <w:r>
        <w:rPr>
          <w:rFonts w:hint="eastAsia" w:ascii="Times New Roman" w:hAnsi="Times New Roman" w:cs="Times New Roman"/>
          <w:color w:val="auto"/>
          <w:sz w:val="32"/>
          <w:highlight w:val="none"/>
          <w:lang w:eastAsia="zh-CN"/>
        </w:rPr>
        <w:t>建设</w:t>
      </w:r>
      <w:r>
        <w:rPr>
          <w:rFonts w:hint="default" w:ascii="Times New Roman" w:hAnsi="Times New Roman" w:eastAsia="仿宋_GB2312" w:cs="Times New Roman"/>
          <w:color w:val="auto"/>
          <w:sz w:val="32"/>
          <w:highlight w:val="none"/>
        </w:rPr>
        <w:t>实施工作重要性、上级各项扶持政策、区政府各项</w:t>
      </w:r>
      <w:r>
        <w:rPr>
          <w:rFonts w:hint="eastAsia" w:ascii="Times New Roman" w:hAnsi="Times New Roman" w:cs="Times New Roman"/>
          <w:color w:val="auto"/>
          <w:sz w:val="32"/>
          <w:highlight w:val="none"/>
          <w:lang w:eastAsia="zh-CN"/>
        </w:rPr>
        <w:t>建设</w:t>
      </w:r>
      <w:r>
        <w:rPr>
          <w:rFonts w:hint="default" w:ascii="Times New Roman" w:hAnsi="Times New Roman" w:eastAsia="仿宋_GB2312" w:cs="Times New Roman"/>
          <w:color w:val="auto"/>
          <w:sz w:val="32"/>
          <w:highlight w:val="none"/>
        </w:rPr>
        <w:t>内容的宣传，使</w:t>
      </w:r>
      <w:r>
        <w:rPr>
          <w:rFonts w:hint="eastAsia" w:ascii="Times New Roman" w:hAnsi="Times New Roman" w:cs="Times New Roman"/>
          <w:color w:val="auto"/>
          <w:sz w:val="32"/>
          <w:highlight w:val="none"/>
          <w:lang w:eastAsia="zh-CN"/>
        </w:rPr>
        <w:t>建设</w:t>
      </w:r>
      <w:r>
        <w:rPr>
          <w:rFonts w:hint="default" w:ascii="Times New Roman" w:hAnsi="Times New Roman" w:eastAsia="仿宋_GB2312" w:cs="Times New Roman"/>
          <w:color w:val="auto"/>
          <w:sz w:val="32"/>
          <w:highlight w:val="none"/>
        </w:rPr>
        <w:t>工作深入人心，努力激发社会各界参与的积极性和主动性，形成全社会支持产业园</w:t>
      </w:r>
      <w:r>
        <w:rPr>
          <w:rFonts w:hint="eastAsia" w:ascii="Times New Roman" w:hAnsi="Times New Roman" w:cs="Times New Roman"/>
          <w:color w:val="auto"/>
          <w:sz w:val="32"/>
          <w:highlight w:val="none"/>
          <w:lang w:eastAsia="zh-CN"/>
        </w:rPr>
        <w:t>建设</w:t>
      </w:r>
      <w:r>
        <w:rPr>
          <w:rFonts w:hint="default" w:ascii="Times New Roman" w:hAnsi="Times New Roman" w:eastAsia="仿宋_GB2312" w:cs="Times New Roman"/>
          <w:color w:val="auto"/>
          <w:sz w:val="32"/>
          <w:highlight w:val="none"/>
        </w:rPr>
        <w:t>工作的良好氛围。努力激发农民群众参与现代农业产业园建设的积极性和主动性。大力吸引和引导民间资本投入产业园大项目建设，为产业园建设拓宽融资渠道，进一步破解建设瓶颈问题。另一方面，通过各类渠道加大宣传力度，提炼总结相关改革模式，提升产业园建设的辐射带动作用。</w:t>
      </w:r>
    </w:p>
    <w:p w14:paraId="2348FDA1">
      <w:pPr>
        <w:pStyle w:val="3"/>
        <w:keepNext/>
        <w:pageBreakBefore w:val="0"/>
        <w:spacing w:before="0" w:beforeLines="-2147483648" w:after="0" w:afterLines="-2147483648" w:line="360" w:lineRule="auto"/>
        <w:ind w:firstLine="640" w:firstLineChars="200"/>
        <w:jc w:val="both"/>
        <w:rPr>
          <w:rFonts w:hint="default" w:ascii="Times New Roman" w:hAnsi="Times New Roman" w:cs="Times New Roman"/>
          <w:b w:val="0"/>
          <w:bCs/>
          <w:color w:val="auto"/>
          <w:szCs w:val="44"/>
          <w:highlight w:val="none"/>
          <w:lang w:val="en-US" w:eastAsia="zh-CN"/>
        </w:rPr>
      </w:pPr>
      <w:bookmarkStart w:id="356" w:name="_Toc23147"/>
      <w:r>
        <w:rPr>
          <w:rFonts w:hint="eastAsia" w:ascii="Times New Roman" w:hAnsi="Times New Roman" w:cs="Times New Roman"/>
          <w:b w:val="0"/>
          <w:bCs/>
          <w:color w:val="auto"/>
          <w:szCs w:val="44"/>
          <w:highlight w:val="none"/>
          <w:lang w:val="en-US" w:eastAsia="zh-CN"/>
        </w:rPr>
        <w:t>十三、建设期满后思路措施</w:t>
      </w:r>
      <w:bookmarkEnd w:id="356"/>
    </w:p>
    <w:p w14:paraId="334DB7E9">
      <w:pPr>
        <w:pStyle w:val="4"/>
        <w:keepLines/>
        <w:widowControl/>
        <w:spacing w:line="590" w:lineRule="exact"/>
        <w:ind w:firstLine="643"/>
        <w:outlineLvl w:val="1"/>
        <w:rPr>
          <w:rFonts w:hint="eastAsia" w:ascii="Times New Roman" w:hAnsi="Times New Roman" w:eastAsia="楷体_GB2312" w:cs="楷体_GB2312"/>
          <w:color w:val="auto"/>
          <w:highlight w:val="none"/>
          <w:lang w:val="en-US" w:eastAsia="zh-CN"/>
        </w:rPr>
      </w:pPr>
      <w:bookmarkStart w:id="357" w:name="_Toc12841"/>
      <w:r>
        <w:rPr>
          <w:rFonts w:hint="eastAsia" w:ascii="Times New Roman" w:hAnsi="Times New Roman" w:eastAsia="楷体_GB2312" w:cs="楷体_GB2312"/>
          <w:color w:val="auto"/>
          <w:highlight w:val="none"/>
          <w:lang w:eastAsia="zh-CN"/>
        </w:rPr>
        <w:t>（</w:t>
      </w:r>
      <w:r>
        <w:rPr>
          <w:rFonts w:hint="eastAsia" w:ascii="Times New Roman" w:hAnsi="Times New Roman" w:eastAsia="楷体_GB2312" w:cs="楷体_GB2312"/>
          <w:color w:val="auto"/>
          <w:highlight w:val="none"/>
          <w:lang w:val="en-US" w:eastAsia="zh-CN"/>
        </w:rPr>
        <w:t>一</w:t>
      </w:r>
      <w:r>
        <w:rPr>
          <w:rFonts w:hint="eastAsia" w:ascii="Times New Roman" w:hAnsi="Times New Roman" w:eastAsia="楷体_GB2312" w:cs="楷体_GB2312"/>
          <w:color w:val="auto"/>
          <w:highlight w:val="none"/>
          <w:lang w:eastAsia="zh-CN"/>
        </w:rPr>
        <w:t>）</w:t>
      </w:r>
      <w:r>
        <w:rPr>
          <w:rFonts w:hint="eastAsia" w:ascii="Times New Roman" w:hAnsi="Times New Roman" w:eastAsia="楷体_GB2312" w:cs="楷体_GB2312"/>
          <w:color w:val="auto"/>
          <w:highlight w:val="none"/>
          <w:lang w:val="en-US" w:eastAsia="zh-CN"/>
        </w:rPr>
        <w:t>总体思路目标</w:t>
      </w:r>
      <w:bookmarkEnd w:id="357"/>
    </w:p>
    <w:p w14:paraId="60777EDC">
      <w:pPr>
        <w:ind w:firstLine="640" w:firstLineChars="200"/>
        <w:rPr>
          <w:rFonts w:hint="default" w:ascii="Times New Roman" w:hAnsi="Times New Roman" w:eastAsia="仿宋_GB2312"/>
          <w:color w:val="auto"/>
          <w:highlight w:val="none"/>
          <w:lang w:val="en-US" w:eastAsia="zh-CN"/>
        </w:rPr>
      </w:pPr>
      <w:r>
        <w:rPr>
          <w:rFonts w:hint="eastAsia" w:ascii="Times New Roman" w:hAnsi="Times New Roman"/>
          <w:color w:val="auto"/>
          <w:highlight w:val="none"/>
          <w:lang w:val="en-US" w:eastAsia="zh-CN"/>
        </w:rPr>
        <w:t>产业园</w:t>
      </w:r>
      <w:r>
        <w:rPr>
          <w:rFonts w:hint="default" w:ascii="Times New Roman" w:hAnsi="Times New Roman" w:eastAsia="仿宋_GB2312"/>
          <w:color w:val="auto"/>
          <w:highlight w:val="none"/>
          <w:lang w:eastAsia="zh-CN"/>
        </w:rPr>
        <w:t>三年建设期满后，</w:t>
      </w:r>
      <w:r>
        <w:rPr>
          <w:rFonts w:hint="eastAsia" w:ascii="Times New Roman" w:hAnsi="Times New Roman"/>
          <w:color w:val="auto"/>
          <w:highlight w:val="none"/>
          <w:lang w:val="en-US" w:eastAsia="zh-CN"/>
        </w:rPr>
        <w:t>以</w:t>
      </w:r>
      <w:r>
        <w:rPr>
          <w:rFonts w:hint="default" w:ascii="Times New Roman" w:hAnsi="Times New Roman" w:eastAsia="仿宋_GB2312"/>
          <w:color w:val="auto"/>
          <w:highlight w:val="none"/>
          <w:lang w:eastAsia="zh-CN"/>
        </w:rPr>
        <w:t>狮头鹅</w:t>
      </w:r>
      <w:r>
        <w:rPr>
          <w:rFonts w:hint="eastAsia" w:ascii="Times New Roman" w:hAnsi="Times New Roman"/>
          <w:color w:val="auto"/>
          <w:highlight w:val="none"/>
          <w:lang w:val="en-US" w:eastAsia="zh-CN"/>
        </w:rPr>
        <w:t>为主导产业的广东省汕头市澄海区</w:t>
      </w:r>
      <w:r>
        <w:rPr>
          <w:rFonts w:hint="default" w:ascii="Times New Roman" w:hAnsi="Times New Roman" w:eastAsia="仿宋_GB2312"/>
          <w:color w:val="auto"/>
          <w:highlight w:val="none"/>
          <w:lang w:eastAsia="zh-CN"/>
        </w:rPr>
        <w:t>国家现代农业产业园</w:t>
      </w:r>
      <w:r>
        <w:rPr>
          <w:rFonts w:hint="eastAsia" w:ascii="Times New Roman" w:hAnsi="Times New Roman"/>
          <w:color w:val="auto"/>
          <w:highlight w:val="none"/>
          <w:lang w:val="en-US" w:eastAsia="zh-CN"/>
        </w:rPr>
        <w:t>成为澄海区现代农业示范新引擎，澄海区现代农业进入高质量发展新阶段。区</w:t>
      </w:r>
      <w:r>
        <w:rPr>
          <w:rFonts w:hint="default" w:ascii="Times New Roman" w:hAnsi="Times New Roman" w:eastAsia="仿宋_GB2312"/>
          <w:color w:val="auto"/>
          <w:highlight w:val="none"/>
          <w:lang w:eastAsia="zh-CN"/>
        </w:rPr>
        <w:t>政府将以推动狮头鹅产业高质量发展为核心，围绕“做强主导产业、做优产业体系、做活融合发展、做实科技支撑、做美绿色生态、做稳联农机制、做精运营管理”总体思路，持续推动</w:t>
      </w:r>
      <w:r>
        <w:rPr>
          <w:rFonts w:hint="eastAsia" w:ascii="Times New Roman" w:hAnsi="Times New Roman"/>
          <w:color w:val="auto"/>
          <w:highlight w:val="none"/>
          <w:lang w:val="en-US" w:eastAsia="zh-CN"/>
        </w:rPr>
        <w:t>狮头鹅国家现代农业</w:t>
      </w:r>
      <w:r>
        <w:rPr>
          <w:rFonts w:hint="default" w:ascii="Times New Roman" w:hAnsi="Times New Roman" w:eastAsia="仿宋_GB2312"/>
          <w:color w:val="auto"/>
          <w:highlight w:val="none"/>
          <w:lang w:eastAsia="zh-CN"/>
        </w:rPr>
        <w:t>产业园由“建设期”向“提质期”“发展期”“示范期”转变，打造集种养、加工、物流、研发、文旅、电商于一体的全产业链条，推动狮头鹅产业向标准化、规模化、品牌化、融合化、绿色化方向发展。</w:t>
      </w:r>
      <w:r>
        <w:rPr>
          <w:rFonts w:hint="default" w:ascii="Times New Roman" w:hAnsi="Times New Roman"/>
          <w:color w:val="auto"/>
          <w:highlight w:val="none"/>
          <w:lang w:val="en-US" w:eastAsia="zh-CN"/>
        </w:rPr>
        <w:t>到202</w:t>
      </w:r>
      <w:r>
        <w:rPr>
          <w:rFonts w:hint="eastAsia" w:ascii="Times New Roman" w:hAnsi="Times New Roman"/>
          <w:color w:val="auto"/>
          <w:highlight w:val="none"/>
          <w:lang w:val="en-US" w:eastAsia="zh-CN"/>
        </w:rPr>
        <w:t>8</w:t>
      </w:r>
      <w:r>
        <w:rPr>
          <w:rFonts w:hint="default" w:ascii="Times New Roman" w:hAnsi="Times New Roman"/>
          <w:color w:val="auto"/>
          <w:highlight w:val="none"/>
          <w:lang w:val="en-US" w:eastAsia="zh-CN"/>
        </w:rPr>
        <w:t>年，</w:t>
      </w:r>
      <w:r>
        <w:rPr>
          <w:rFonts w:hint="default" w:ascii="Times New Roman" w:hAnsi="Times New Roman"/>
          <w:color w:val="auto"/>
          <w:highlight w:val="none"/>
        </w:rPr>
        <w:t>打造具有国际影响力的民族狮头鹅品牌，构筑以狮头鹅产业为引领的水禽产业化集群，为带动全区率先全面建成小康社会奠定坚实基础。</w:t>
      </w:r>
      <w:r>
        <w:rPr>
          <w:rFonts w:hint="eastAsia" w:ascii="Times New Roman" w:hAnsi="Times New Roman"/>
          <w:color w:val="auto"/>
          <w:highlight w:val="none"/>
          <w:lang w:val="en-US" w:eastAsia="zh-CN"/>
        </w:rPr>
        <w:t>具体目标如下：</w:t>
      </w:r>
    </w:p>
    <w:p w14:paraId="3670D567">
      <w:pPr>
        <w:bidi w:val="0"/>
        <w:spacing w:line="590" w:lineRule="exact"/>
        <w:ind w:firstLine="643"/>
        <w:rPr>
          <w:rFonts w:hint="eastAsia" w:ascii="Times New Roman" w:hAnsi="Times New Roman"/>
          <w:color w:val="auto"/>
          <w:highlight w:val="none"/>
          <w:lang w:val="en-US" w:eastAsia="zh-CN"/>
        </w:rPr>
      </w:pPr>
      <w:r>
        <w:rPr>
          <w:rFonts w:hint="eastAsia" w:ascii="Times New Roman" w:hAnsi="Times New Roman"/>
          <w:b/>
          <w:bCs/>
          <w:color w:val="auto"/>
          <w:highlight w:val="none"/>
          <w:lang w:val="en-US" w:eastAsia="zh-CN"/>
        </w:rPr>
        <w:t>——狮头鹅产业高效持续发展。</w:t>
      </w:r>
      <w:r>
        <w:rPr>
          <w:rFonts w:hint="eastAsia" w:ascii="Times New Roman" w:hAnsi="Times New Roman"/>
          <w:b w:val="0"/>
          <w:bCs w:val="0"/>
          <w:color w:val="auto"/>
          <w:highlight w:val="none"/>
          <w:lang w:val="en-US" w:eastAsia="zh-CN"/>
        </w:rPr>
        <w:t>到2028年，</w:t>
      </w:r>
      <w:r>
        <w:rPr>
          <w:rFonts w:hint="eastAsia" w:ascii="Times New Roman" w:hAnsi="Times New Roman"/>
          <w:color w:val="auto"/>
          <w:highlight w:val="none"/>
          <w:lang w:val="en-US" w:eastAsia="zh-CN"/>
        </w:rPr>
        <w:t>产业园总产值</w:t>
      </w:r>
      <w:r>
        <w:rPr>
          <w:rFonts w:hint="default" w:ascii="Times New Roman" w:hAnsi="Times New Roman"/>
          <w:color w:val="auto"/>
          <w:highlight w:val="none"/>
        </w:rPr>
        <w:t>达到</w:t>
      </w:r>
      <w:r>
        <w:rPr>
          <w:rFonts w:hint="default" w:ascii="Times New Roman" w:hAnsi="Times New Roman"/>
          <w:color w:val="auto"/>
          <w:highlight w:val="none"/>
          <w:lang w:val="en-US" w:eastAsia="zh-CN"/>
        </w:rPr>
        <w:t>17</w:t>
      </w:r>
      <w:r>
        <w:rPr>
          <w:rFonts w:hint="eastAsia" w:ascii="Times New Roman" w:hAnsi="Times New Roman"/>
          <w:color w:val="auto"/>
          <w:highlight w:val="none"/>
          <w:lang w:val="en-US" w:eastAsia="zh-CN"/>
        </w:rPr>
        <w:t>8.31</w:t>
      </w:r>
      <w:r>
        <w:rPr>
          <w:rFonts w:hint="default" w:ascii="Times New Roman" w:hAnsi="Times New Roman"/>
          <w:color w:val="auto"/>
          <w:highlight w:val="none"/>
        </w:rPr>
        <w:t>亿元，辐射带动加工、农旅全产业链发展，主导产业总产值达</w:t>
      </w:r>
      <w:r>
        <w:rPr>
          <w:rFonts w:hint="eastAsia" w:ascii="Times New Roman" w:hAnsi="Times New Roman"/>
          <w:color w:val="auto"/>
          <w:highlight w:val="none"/>
          <w:lang w:val="en-US" w:eastAsia="zh-CN"/>
        </w:rPr>
        <w:t>120.78</w:t>
      </w:r>
      <w:r>
        <w:rPr>
          <w:rFonts w:hint="default" w:ascii="Times New Roman" w:hAnsi="Times New Roman"/>
          <w:color w:val="auto"/>
          <w:highlight w:val="none"/>
        </w:rPr>
        <w:t>亿元，占产业园总产值的</w:t>
      </w:r>
      <w:r>
        <w:rPr>
          <w:rFonts w:hint="eastAsia" w:ascii="Times New Roman" w:hAnsi="Times New Roman"/>
          <w:color w:val="auto"/>
          <w:highlight w:val="none"/>
          <w:lang w:val="en-US" w:eastAsia="zh-CN"/>
        </w:rPr>
        <w:t>67.74</w:t>
      </w:r>
      <w:r>
        <w:rPr>
          <w:rFonts w:hint="default" w:ascii="Times New Roman" w:hAnsi="Times New Roman"/>
          <w:color w:val="auto"/>
          <w:highlight w:val="none"/>
        </w:rPr>
        <w:t>%</w:t>
      </w:r>
      <w:r>
        <w:rPr>
          <w:rFonts w:hint="eastAsia" w:ascii="Times New Roman" w:hAnsi="Times New Roman"/>
          <w:color w:val="auto"/>
          <w:highlight w:val="none"/>
          <w:lang w:eastAsia="zh-CN"/>
        </w:rPr>
        <w:t>。</w:t>
      </w:r>
      <w:r>
        <w:rPr>
          <w:rFonts w:hint="default" w:ascii="Times New Roman" w:hAnsi="Times New Roman"/>
          <w:color w:val="auto"/>
          <w:highlight w:val="none"/>
        </w:rPr>
        <w:t>产业园畜禽标准化养殖显著提升，狮头鹅出栏量达到</w:t>
      </w:r>
      <w:r>
        <w:rPr>
          <w:rFonts w:hint="eastAsia" w:ascii="Times New Roman" w:hAnsi="Times New Roman"/>
          <w:color w:val="auto"/>
          <w:highlight w:val="none"/>
          <w:lang w:val="en-US" w:eastAsia="zh-CN"/>
        </w:rPr>
        <w:t>1100</w:t>
      </w:r>
      <w:r>
        <w:rPr>
          <w:rFonts w:hint="default" w:ascii="Times New Roman" w:hAnsi="Times New Roman"/>
          <w:color w:val="auto"/>
          <w:highlight w:val="none"/>
        </w:rPr>
        <w:t>万只</w:t>
      </w:r>
      <w:r>
        <w:rPr>
          <w:rFonts w:hint="eastAsia" w:ascii="Times New Roman" w:hAnsi="Times New Roman"/>
          <w:color w:val="auto"/>
          <w:highlight w:val="none"/>
          <w:lang w:eastAsia="zh-CN"/>
        </w:rPr>
        <w:t>。</w:t>
      </w:r>
      <w:r>
        <w:rPr>
          <w:rFonts w:hint="default" w:ascii="Times New Roman" w:hAnsi="Times New Roman" w:eastAsia="仿宋_GB2312"/>
          <w:color w:val="auto"/>
          <w:highlight w:val="none"/>
          <w:lang w:eastAsia="zh-CN"/>
        </w:rPr>
        <w:t>打造“狮头鹅+”多元融合产业体系</w:t>
      </w:r>
      <w:r>
        <w:rPr>
          <w:rFonts w:hint="eastAsia" w:ascii="Times New Roman" w:hAnsi="Times New Roman"/>
          <w:color w:val="auto"/>
          <w:highlight w:val="none"/>
          <w:lang w:eastAsia="zh-CN"/>
        </w:rPr>
        <w:t>，</w:t>
      </w:r>
      <w:r>
        <w:rPr>
          <w:rFonts w:hint="default" w:ascii="Times New Roman" w:hAnsi="Times New Roman"/>
          <w:color w:val="auto"/>
          <w:highlight w:val="none"/>
        </w:rPr>
        <w:t>园内狮头鹅屠宰加工及冷链水平进一步提升，</w:t>
      </w:r>
      <w:r>
        <w:rPr>
          <w:rFonts w:hint="eastAsia" w:ascii="Times New Roman" w:hAnsi="Times New Roman"/>
          <w:color w:val="auto"/>
          <w:highlight w:val="none"/>
          <w:lang w:val="en-US" w:eastAsia="zh-CN"/>
        </w:rPr>
        <w:t>园内狮头鹅产业二产产值与一产产值的比值达3.19:1。</w:t>
      </w:r>
    </w:p>
    <w:p w14:paraId="1BFACA7D">
      <w:pPr>
        <w:bidi w:val="0"/>
        <w:spacing w:line="590" w:lineRule="exact"/>
        <w:ind w:firstLine="643"/>
        <w:rPr>
          <w:rFonts w:hint="eastAsia" w:ascii="Times New Roman" w:hAnsi="Times New Roman"/>
          <w:color w:val="auto"/>
          <w:highlight w:val="none"/>
          <w:lang w:val="en-US" w:eastAsia="zh-CN"/>
        </w:rPr>
      </w:pPr>
      <w:r>
        <w:rPr>
          <w:rFonts w:hint="eastAsia" w:ascii="Times New Roman" w:hAnsi="Times New Roman"/>
          <w:b/>
          <w:bCs/>
          <w:color w:val="auto"/>
          <w:highlight w:val="none"/>
          <w:lang w:val="en-US" w:eastAsia="zh-CN"/>
        </w:rPr>
        <w:t>——技术装备稳定支撑。</w:t>
      </w:r>
      <w:r>
        <w:rPr>
          <w:rFonts w:hint="eastAsia" w:ascii="Times New Roman" w:hAnsi="Times New Roman"/>
          <w:b w:val="0"/>
          <w:bCs w:val="0"/>
          <w:color w:val="auto"/>
          <w:highlight w:val="none"/>
          <w:lang w:val="en-US" w:eastAsia="zh-CN"/>
        </w:rPr>
        <w:t>到2028年，</w:t>
      </w:r>
      <w:r>
        <w:rPr>
          <w:rFonts w:hint="default" w:ascii="Times New Roman" w:hAnsi="Times New Roman"/>
          <w:color w:val="auto"/>
          <w:highlight w:val="none"/>
          <w:lang w:val="en-US" w:eastAsia="zh-CN"/>
        </w:rPr>
        <w:t>现代科技要素集聚，省级以上科研单位设立研发平台</w:t>
      </w:r>
      <w:r>
        <w:rPr>
          <w:rFonts w:hint="eastAsia" w:ascii="Times New Roman" w:hAnsi="Times New Roman"/>
          <w:color w:val="auto"/>
          <w:highlight w:val="none"/>
          <w:lang w:val="en-US" w:eastAsia="zh-CN"/>
        </w:rPr>
        <w:t>稳定在4</w:t>
      </w:r>
      <w:r>
        <w:rPr>
          <w:rFonts w:hint="default" w:ascii="Times New Roman" w:hAnsi="Times New Roman"/>
          <w:color w:val="auto"/>
          <w:highlight w:val="none"/>
          <w:lang w:val="en-US" w:eastAsia="zh-CN"/>
        </w:rPr>
        <w:t>个，农作物耕种收综合机械化率</w:t>
      </w:r>
      <w:r>
        <w:rPr>
          <w:rFonts w:hint="eastAsia" w:ascii="Times New Roman" w:hAnsi="Times New Roman"/>
          <w:color w:val="auto"/>
          <w:highlight w:val="none"/>
          <w:lang w:val="en-US" w:eastAsia="zh-CN"/>
        </w:rPr>
        <w:t>76.2</w:t>
      </w:r>
      <w:r>
        <w:rPr>
          <w:rFonts w:hint="default" w:ascii="Times New Roman" w:hAnsi="Times New Roman"/>
          <w:color w:val="auto"/>
          <w:highlight w:val="none"/>
          <w:lang w:val="en-US" w:eastAsia="zh-CN"/>
        </w:rPr>
        <w:t>%，新品种新技术研发引进推广经费支出</w:t>
      </w:r>
      <w:r>
        <w:rPr>
          <w:rFonts w:hint="eastAsia" w:ascii="Times New Roman" w:hAnsi="Times New Roman"/>
          <w:color w:val="auto"/>
          <w:highlight w:val="none"/>
          <w:lang w:val="en-US" w:eastAsia="zh-CN"/>
        </w:rPr>
        <w:t>达3000万元，专业技术人员数量达750人。</w:t>
      </w:r>
    </w:p>
    <w:p w14:paraId="11E7B5BB">
      <w:pPr>
        <w:bidi w:val="0"/>
        <w:spacing w:line="590" w:lineRule="exact"/>
        <w:ind w:firstLine="643"/>
        <w:rPr>
          <w:rFonts w:hint="default" w:ascii="Times New Roman" w:hAnsi="Times New Roman"/>
          <w:color w:val="auto"/>
          <w:highlight w:val="none"/>
          <w:lang w:val="en-US" w:eastAsia="zh-CN"/>
        </w:rPr>
      </w:pPr>
      <w:r>
        <w:rPr>
          <w:rFonts w:hint="eastAsia" w:ascii="Times New Roman" w:hAnsi="Times New Roman"/>
          <w:b/>
          <w:bCs/>
          <w:color w:val="auto"/>
          <w:highlight w:val="none"/>
          <w:lang w:val="en-US" w:eastAsia="zh-CN"/>
        </w:rPr>
        <w:t>——</w:t>
      </w:r>
      <w:r>
        <w:rPr>
          <w:rFonts w:hint="default" w:ascii="Times New Roman" w:hAnsi="Times New Roman"/>
          <w:b/>
          <w:bCs/>
          <w:color w:val="auto"/>
          <w:highlight w:val="none"/>
          <w:lang w:val="en-US" w:eastAsia="zh-CN"/>
        </w:rPr>
        <w:t>全面建成绿色生态循环农业</w:t>
      </w:r>
      <w:r>
        <w:rPr>
          <w:rFonts w:hint="eastAsia" w:ascii="Times New Roman" w:hAnsi="Times New Roman"/>
          <w:b/>
          <w:bCs/>
          <w:color w:val="auto"/>
          <w:highlight w:val="none"/>
          <w:lang w:val="en-US" w:eastAsia="zh-CN"/>
        </w:rPr>
        <w:t>。</w:t>
      </w:r>
      <w:r>
        <w:rPr>
          <w:rFonts w:hint="eastAsia" w:ascii="Times New Roman" w:hAnsi="Times New Roman"/>
          <w:b w:val="0"/>
          <w:bCs w:val="0"/>
          <w:color w:val="auto"/>
          <w:highlight w:val="none"/>
          <w:lang w:val="en-US" w:eastAsia="zh-CN"/>
        </w:rPr>
        <w:t>到2028年，</w:t>
      </w:r>
      <w:r>
        <w:rPr>
          <w:rFonts w:hint="eastAsia" w:ascii="Times New Roman" w:hAnsi="Times New Roman"/>
          <w:color w:val="auto"/>
          <w:highlight w:val="none"/>
          <w:lang w:val="en-US" w:eastAsia="zh-CN"/>
        </w:rPr>
        <w:t>畜禽粪便（或秸秆）综合处理率92%，绿色食品和有机农产品认证个数达6个，认证面积达8400亩。</w:t>
      </w:r>
    </w:p>
    <w:p w14:paraId="64D0FD0C">
      <w:pPr>
        <w:bidi w:val="0"/>
        <w:spacing w:line="590" w:lineRule="exact"/>
        <w:rPr>
          <w:rFonts w:hint="default" w:ascii="Times New Roman" w:hAnsi="Times New Roman"/>
          <w:color w:val="auto"/>
          <w:highlight w:val="none"/>
          <w:lang w:val="en-US" w:eastAsia="zh-CN"/>
        </w:rPr>
      </w:pPr>
      <w:r>
        <w:rPr>
          <w:rFonts w:hint="eastAsia" w:ascii="Times New Roman" w:hAnsi="Times New Roman"/>
          <w:b/>
          <w:bCs/>
          <w:color w:val="auto"/>
          <w:highlight w:val="none"/>
          <w:lang w:val="en-US" w:eastAsia="zh-CN"/>
        </w:rPr>
        <w:t>——构建联农带农稳定长效机制。</w:t>
      </w:r>
      <w:r>
        <w:rPr>
          <w:rFonts w:hint="eastAsia" w:ascii="Times New Roman" w:hAnsi="Times New Roman"/>
          <w:color w:val="auto"/>
          <w:highlight w:val="none"/>
          <w:lang w:val="en-US" w:eastAsia="zh-CN"/>
        </w:rPr>
        <w:t>到</w:t>
      </w:r>
      <w:r>
        <w:rPr>
          <w:rFonts w:hint="default" w:ascii="Times New Roman" w:hAnsi="Times New Roman"/>
          <w:color w:val="auto"/>
          <w:highlight w:val="none"/>
          <w:lang w:val="en-US" w:eastAsia="zh-CN"/>
        </w:rPr>
        <w:t>202</w:t>
      </w:r>
      <w:r>
        <w:rPr>
          <w:rFonts w:hint="eastAsia" w:ascii="Times New Roman" w:hAnsi="Times New Roman"/>
          <w:color w:val="auto"/>
          <w:highlight w:val="none"/>
          <w:lang w:val="en-US" w:eastAsia="zh-CN"/>
        </w:rPr>
        <w:t>8</w:t>
      </w:r>
      <w:r>
        <w:rPr>
          <w:rFonts w:hint="default" w:ascii="Times New Roman" w:hAnsi="Times New Roman"/>
          <w:color w:val="auto"/>
          <w:highlight w:val="none"/>
          <w:lang w:val="en-US" w:eastAsia="zh-CN"/>
        </w:rPr>
        <w:t>年，</w:t>
      </w:r>
      <w:r>
        <w:rPr>
          <w:rFonts w:hint="default" w:ascii="Times New Roman" w:hAnsi="Times New Roman"/>
          <w:color w:val="auto"/>
          <w:highlight w:val="none"/>
        </w:rPr>
        <w:t>带动农民增收致富效果显著</w:t>
      </w:r>
      <w:r>
        <w:rPr>
          <w:rFonts w:hint="default" w:ascii="Times New Roman" w:hAnsi="Times New Roman"/>
          <w:color w:val="auto"/>
          <w:highlight w:val="none"/>
          <w:lang w:eastAsia="zh-CN"/>
        </w:rPr>
        <w:t>，</w:t>
      </w:r>
      <w:r>
        <w:rPr>
          <w:rFonts w:hint="default" w:ascii="Times New Roman" w:hAnsi="Times New Roman"/>
          <w:color w:val="auto"/>
          <w:highlight w:val="none"/>
          <w:lang w:val="en-US" w:eastAsia="zh-CN"/>
        </w:rPr>
        <w:t>实现带动农户人数5.</w:t>
      </w:r>
      <w:r>
        <w:rPr>
          <w:rFonts w:hint="eastAsia" w:ascii="Times New Roman" w:hAnsi="Times New Roman"/>
          <w:color w:val="auto"/>
          <w:highlight w:val="none"/>
          <w:lang w:val="en-US" w:eastAsia="zh-CN"/>
        </w:rPr>
        <w:t>2</w:t>
      </w:r>
      <w:r>
        <w:rPr>
          <w:rFonts w:hint="default" w:ascii="Times New Roman" w:hAnsi="Times New Roman"/>
          <w:color w:val="auto"/>
          <w:highlight w:val="none"/>
          <w:lang w:val="en-US" w:eastAsia="zh-CN"/>
        </w:rPr>
        <w:t>万人，产业园农村居民人均可支配收入</w:t>
      </w:r>
      <w:r>
        <w:rPr>
          <w:rFonts w:hint="eastAsia" w:ascii="Times New Roman" w:hAnsi="Times New Roman"/>
          <w:color w:val="auto"/>
          <w:highlight w:val="none"/>
          <w:lang w:val="en-US" w:eastAsia="zh-CN"/>
        </w:rPr>
        <w:t>3.9</w:t>
      </w:r>
      <w:r>
        <w:rPr>
          <w:rFonts w:hint="default" w:ascii="Times New Roman" w:hAnsi="Times New Roman"/>
          <w:color w:val="auto"/>
          <w:highlight w:val="none"/>
          <w:lang w:val="en-US" w:eastAsia="zh-CN"/>
        </w:rPr>
        <w:t>万元，高于所在县平均水平32.4%。</w:t>
      </w:r>
    </w:p>
    <w:p w14:paraId="2580DE1D">
      <w:pPr>
        <w:bidi w:val="0"/>
        <w:rPr>
          <w:rFonts w:hint="default" w:ascii="Times New Roman" w:hAnsi="Times New Roman" w:eastAsia="仿宋_GB2312"/>
          <w:color w:val="auto"/>
          <w:highlight w:val="none"/>
          <w:lang w:val="en-US" w:eastAsia="zh-CN"/>
        </w:rPr>
      </w:pPr>
      <w:r>
        <w:rPr>
          <w:rFonts w:hint="eastAsia" w:ascii="Times New Roman" w:hAnsi="Times New Roman"/>
          <w:b/>
          <w:bCs/>
          <w:color w:val="auto"/>
          <w:highlight w:val="none"/>
          <w:lang w:val="en-US" w:eastAsia="zh-CN"/>
        </w:rPr>
        <w:t>——</w:t>
      </w:r>
      <w:r>
        <w:rPr>
          <w:rFonts w:hint="default" w:ascii="Times New Roman" w:hAnsi="Times New Roman" w:eastAsia="仿宋_GB2312"/>
          <w:b/>
          <w:bCs/>
          <w:color w:val="auto"/>
          <w:highlight w:val="none"/>
          <w:lang w:eastAsia="zh-CN"/>
        </w:rPr>
        <w:t>园区运营管理机制更加健全</w:t>
      </w:r>
      <w:r>
        <w:rPr>
          <w:rFonts w:hint="eastAsia" w:ascii="Times New Roman" w:hAnsi="Times New Roman"/>
          <w:b/>
          <w:bCs/>
          <w:color w:val="auto"/>
          <w:highlight w:val="none"/>
          <w:lang w:eastAsia="zh-CN"/>
        </w:rPr>
        <w:t>。</w:t>
      </w:r>
      <w:r>
        <w:rPr>
          <w:rFonts w:hint="eastAsia" w:ascii="Times New Roman" w:hAnsi="Times New Roman"/>
          <w:color w:val="auto"/>
          <w:highlight w:val="none"/>
          <w:lang w:val="en-US" w:eastAsia="zh-CN"/>
        </w:rPr>
        <w:t>园区建立稳定的资金多元投入机制，管理制度健全，人员配备完善，</w:t>
      </w:r>
      <w:r>
        <w:rPr>
          <w:rFonts w:hint="default" w:ascii="Times New Roman" w:hAnsi="Times New Roman" w:eastAsia="仿宋_GB2312"/>
          <w:color w:val="auto"/>
          <w:highlight w:val="none"/>
          <w:lang w:eastAsia="zh-CN"/>
        </w:rPr>
        <w:t>形成市场化、专业化、高效化的管理体系</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建立健全园区招商引资政策，营商环境进一步优化；财政扶持资金往园区倾斜，金融信贷服务全面提升，撬动更多金融和社会资本投入产业园后续运营管理。</w:t>
      </w:r>
    </w:p>
    <w:p w14:paraId="4F8F75A5">
      <w:pPr>
        <w:pStyle w:val="4"/>
        <w:keepLines/>
        <w:widowControl/>
        <w:spacing w:line="590" w:lineRule="exact"/>
        <w:ind w:firstLine="643"/>
        <w:outlineLvl w:val="1"/>
        <w:rPr>
          <w:rFonts w:hint="eastAsia" w:ascii="Times New Roman" w:hAnsi="Times New Roman" w:eastAsia="楷体_GB2312" w:cs="楷体_GB2312"/>
          <w:color w:val="auto"/>
          <w:highlight w:val="none"/>
          <w:lang w:val="en-US" w:eastAsia="zh-CN"/>
        </w:rPr>
      </w:pPr>
      <w:bookmarkStart w:id="358" w:name="_Toc30302"/>
      <w:r>
        <w:rPr>
          <w:rFonts w:hint="eastAsia" w:ascii="Times New Roman" w:hAnsi="Times New Roman" w:eastAsia="楷体_GB2312" w:cs="楷体_GB2312"/>
          <w:color w:val="auto"/>
          <w:highlight w:val="none"/>
          <w:lang w:eastAsia="zh-CN"/>
        </w:rPr>
        <w:t>（</w:t>
      </w:r>
      <w:r>
        <w:rPr>
          <w:rFonts w:hint="eastAsia" w:ascii="Times New Roman" w:hAnsi="Times New Roman" w:eastAsia="楷体_GB2312" w:cs="楷体_GB2312"/>
          <w:color w:val="auto"/>
          <w:highlight w:val="none"/>
          <w:lang w:val="en-US" w:eastAsia="zh-CN"/>
        </w:rPr>
        <w:t>二</w:t>
      </w:r>
      <w:r>
        <w:rPr>
          <w:rFonts w:hint="eastAsia" w:ascii="Times New Roman" w:hAnsi="Times New Roman" w:eastAsia="楷体_GB2312" w:cs="楷体_GB2312"/>
          <w:color w:val="auto"/>
          <w:highlight w:val="none"/>
          <w:lang w:eastAsia="zh-CN"/>
        </w:rPr>
        <w:t>）</w:t>
      </w:r>
      <w:r>
        <w:rPr>
          <w:rFonts w:hint="eastAsia" w:ascii="Times New Roman" w:hAnsi="Times New Roman" w:eastAsia="楷体_GB2312" w:cs="楷体_GB2312"/>
          <w:color w:val="auto"/>
          <w:highlight w:val="none"/>
          <w:lang w:val="en-US" w:eastAsia="zh-CN"/>
        </w:rPr>
        <w:t>实施路径</w:t>
      </w:r>
      <w:bookmarkEnd w:id="358"/>
    </w:p>
    <w:p w14:paraId="76C86F5C">
      <w:pPr>
        <w:pStyle w:val="4"/>
        <w:spacing w:line="240" w:lineRule="auto"/>
        <w:ind w:firstLine="643"/>
        <w:rPr>
          <w:rFonts w:hint="default" w:ascii="Times New Roman" w:hAnsi="Times New Roman" w:eastAsia="仿宋_GB2312" w:cs="仿宋_GB2312"/>
          <w:color w:val="auto"/>
          <w:szCs w:val="32"/>
          <w:highlight w:val="none"/>
          <w:lang w:val="en-US" w:eastAsia="zh-CN"/>
        </w:rPr>
      </w:pPr>
      <w:r>
        <w:rPr>
          <w:rFonts w:hint="default" w:ascii="Times New Roman" w:hAnsi="Times New Roman" w:eastAsia="仿宋_GB2312" w:cs="仿宋_GB2312"/>
          <w:color w:val="auto"/>
          <w:szCs w:val="32"/>
          <w:highlight w:val="none"/>
          <w:lang w:val="en-US" w:eastAsia="zh-CN"/>
        </w:rPr>
        <w:t>1.持续推进狮头鹅种养基地建设</w:t>
      </w:r>
    </w:p>
    <w:p w14:paraId="03AA1EFB">
      <w:pPr>
        <w:rPr>
          <w:rFonts w:hint="default" w:ascii="Times New Roman" w:hAnsi="Times New Roman" w:eastAsia="仿宋_GB2312"/>
          <w:color w:val="auto"/>
          <w:highlight w:val="none"/>
          <w:lang w:eastAsia="zh-CN"/>
        </w:rPr>
      </w:pPr>
      <w:r>
        <w:rPr>
          <w:rFonts w:hint="default" w:ascii="Times New Roman" w:hAnsi="Times New Roman" w:eastAsia="仿宋_GB2312"/>
          <w:color w:val="auto"/>
          <w:highlight w:val="none"/>
          <w:lang w:eastAsia="zh-CN"/>
        </w:rPr>
        <w:t>在建设期满后，将持续推进狮头鹅种养基地的标准化、规模化、集约化发展，提升基地产出效益和产业基础能力。</w:t>
      </w:r>
    </w:p>
    <w:p w14:paraId="3EF06337">
      <w:pPr>
        <w:ind w:firstLine="643" w:firstLineChars="200"/>
        <w:rPr>
          <w:rFonts w:hint="default" w:ascii="Times New Roman" w:hAnsi="Times New Roman" w:eastAsia="仿宋_GB2312"/>
          <w:color w:val="auto"/>
          <w:highlight w:val="none"/>
          <w:lang w:eastAsia="zh-CN"/>
        </w:rPr>
      </w:pPr>
      <w:r>
        <w:rPr>
          <w:rFonts w:hint="eastAsia" w:ascii="Times New Roman" w:hAnsi="Times New Roman"/>
          <w:b/>
          <w:bCs/>
          <w:color w:val="auto"/>
          <w:highlight w:val="none"/>
          <w:lang w:val="en-US" w:eastAsia="zh-CN"/>
        </w:rPr>
        <w:t>一是</w:t>
      </w:r>
      <w:r>
        <w:rPr>
          <w:rFonts w:hint="default" w:ascii="Times New Roman" w:hAnsi="Times New Roman" w:eastAsia="仿宋_GB2312"/>
          <w:b/>
          <w:bCs/>
          <w:color w:val="auto"/>
          <w:highlight w:val="none"/>
          <w:lang w:eastAsia="zh-CN"/>
        </w:rPr>
        <w:t>加强基础设施建设。</w:t>
      </w:r>
      <w:r>
        <w:rPr>
          <w:rFonts w:hint="default" w:ascii="Times New Roman" w:hAnsi="Times New Roman" w:eastAsia="仿宋_GB2312"/>
          <w:color w:val="auto"/>
          <w:highlight w:val="none"/>
          <w:lang w:eastAsia="zh-CN"/>
        </w:rPr>
        <w:t>继续完善</w:t>
      </w:r>
      <w:r>
        <w:rPr>
          <w:rFonts w:hint="eastAsia" w:ascii="Times New Roman" w:hAnsi="Times New Roman"/>
          <w:color w:val="auto"/>
          <w:highlight w:val="none"/>
          <w:lang w:val="en-US" w:eastAsia="zh-CN"/>
        </w:rPr>
        <w:t>狮头鹅</w:t>
      </w:r>
      <w:r>
        <w:rPr>
          <w:rFonts w:hint="default" w:ascii="Times New Roman" w:hAnsi="Times New Roman" w:eastAsia="仿宋_GB2312"/>
          <w:color w:val="auto"/>
          <w:highlight w:val="none"/>
          <w:lang w:eastAsia="zh-CN"/>
        </w:rPr>
        <w:t>基地道路、水利、电力、通信等基础设施，提升养殖环境和生产条件。</w:t>
      </w:r>
      <w:r>
        <w:rPr>
          <w:rFonts w:hint="eastAsia" w:ascii="Times New Roman" w:hAnsi="Times New Roman"/>
          <w:color w:val="auto"/>
          <w:highlight w:val="none"/>
          <w:lang w:val="en-US" w:eastAsia="zh-CN"/>
        </w:rPr>
        <w:t>重点推进标准化禽舍和配套设施建设，</w:t>
      </w:r>
      <w:r>
        <w:rPr>
          <w:rFonts w:hint="default" w:ascii="Times New Roman" w:hAnsi="Times New Roman" w:eastAsia="仿宋_GB2312"/>
          <w:color w:val="auto"/>
          <w:highlight w:val="none"/>
          <w:lang w:eastAsia="zh-CN"/>
        </w:rPr>
        <w:t>推广自动喂料、自动清粪、智能温控等现代化设备，</w:t>
      </w:r>
      <w:r>
        <w:rPr>
          <w:rFonts w:hint="eastAsia" w:ascii="Times New Roman" w:hAnsi="Times New Roman"/>
          <w:color w:val="auto"/>
          <w:highlight w:val="none"/>
          <w:lang w:val="en-US" w:eastAsia="zh-CN"/>
        </w:rPr>
        <w:t>提高装备化、智能化、生态化发展水平</w:t>
      </w:r>
      <w:r>
        <w:rPr>
          <w:rFonts w:hint="default" w:ascii="Times New Roman" w:hAnsi="Times New Roman" w:eastAsia="仿宋_GB2312"/>
          <w:color w:val="auto"/>
          <w:highlight w:val="none"/>
          <w:lang w:eastAsia="zh-CN"/>
        </w:rPr>
        <w:t>。</w:t>
      </w:r>
    </w:p>
    <w:p w14:paraId="0EA3C9A6">
      <w:pPr>
        <w:rPr>
          <w:rFonts w:hint="default" w:ascii="Times New Roman" w:hAnsi="Times New Roman" w:eastAsia="仿宋_GB2312"/>
          <w:color w:val="auto"/>
          <w:highlight w:val="none"/>
          <w:lang w:eastAsia="zh-CN"/>
        </w:rPr>
      </w:pPr>
      <w:r>
        <w:rPr>
          <w:rFonts w:hint="eastAsia" w:ascii="Times New Roman" w:hAnsi="Times New Roman"/>
          <w:b/>
          <w:bCs/>
          <w:color w:val="auto"/>
          <w:highlight w:val="none"/>
          <w:lang w:val="en-US" w:eastAsia="zh-CN"/>
        </w:rPr>
        <w:t>二是</w:t>
      </w:r>
      <w:r>
        <w:rPr>
          <w:rFonts w:hint="default" w:ascii="Times New Roman" w:hAnsi="Times New Roman" w:eastAsia="仿宋_GB2312"/>
          <w:b/>
          <w:bCs/>
          <w:color w:val="auto"/>
          <w:highlight w:val="none"/>
          <w:lang w:eastAsia="zh-CN"/>
        </w:rPr>
        <w:t>优化养殖布局。</w:t>
      </w:r>
      <w:r>
        <w:rPr>
          <w:rFonts w:hint="default" w:ascii="Times New Roman" w:hAnsi="Times New Roman" w:eastAsia="仿宋_GB2312"/>
          <w:color w:val="auto"/>
          <w:highlight w:val="none"/>
          <w:lang w:eastAsia="zh-CN"/>
        </w:rPr>
        <w:t>按照“集中连片、分区管理、生态循环”原则，合理布局种鹅场、育雏场、</w:t>
      </w:r>
      <w:r>
        <w:rPr>
          <w:rFonts w:hint="eastAsia" w:ascii="Times New Roman" w:hAnsi="Times New Roman"/>
          <w:color w:val="auto"/>
          <w:highlight w:val="none"/>
          <w:lang w:val="en-US" w:eastAsia="zh-CN"/>
        </w:rPr>
        <w:t>肉</w:t>
      </w:r>
      <w:r>
        <w:rPr>
          <w:rFonts w:hint="default" w:ascii="Times New Roman" w:hAnsi="Times New Roman" w:eastAsia="仿宋_GB2312"/>
          <w:color w:val="auto"/>
          <w:highlight w:val="none"/>
          <w:lang w:eastAsia="zh-CN"/>
        </w:rPr>
        <w:t>鹅场，推动形成“种—繁—养—加”一体化格局。鼓励发展“</w:t>
      </w:r>
      <w:r>
        <w:rPr>
          <w:rFonts w:hint="eastAsia" w:ascii="Times New Roman" w:hAnsi="Times New Roman"/>
          <w:color w:val="auto"/>
          <w:highlight w:val="none"/>
          <w:lang w:val="en-US" w:eastAsia="zh-CN"/>
        </w:rPr>
        <w:t>鹅-鱼-草</w:t>
      </w:r>
      <w:r>
        <w:rPr>
          <w:rFonts w:hint="default" w:ascii="Times New Roman" w:hAnsi="Times New Roman" w:eastAsia="仿宋_GB2312"/>
          <w:color w:val="auto"/>
          <w:highlight w:val="none"/>
          <w:lang w:eastAsia="zh-CN"/>
        </w:rPr>
        <w:t>”等生态</w:t>
      </w:r>
      <w:r>
        <w:rPr>
          <w:rFonts w:hint="eastAsia" w:ascii="Times New Roman" w:hAnsi="Times New Roman"/>
          <w:color w:val="auto"/>
          <w:highlight w:val="none"/>
          <w:lang w:val="en-US" w:eastAsia="zh-CN"/>
        </w:rPr>
        <w:t>循环</w:t>
      </w:r>
      <w:r>
        <w:rPr>
          <w:rFonts w:hint="default" w:ascii="Times New Roman" w:hAnsi="Times New Roman" w:eastAsia="仿宋_GB2312"/>
          <w:color w:val="auto"/>
          <w:highlight w:val="none"/>
          <w:lang w:eastAsia="zh-CN"/>
        </w:rPr>
        <w:t>种养模式，实现资源高效利用。</w:t>
      </w:r>
    </w:p>
    <w:p w14:paraId="66948DEA">
      <w:pPr>
        <w:rPr>
          <w:rFonts w:hint="default" w:ascii="Times New Roman" w:hAnsi="Times New Roman" w:eastAsia="仿宋_GB2312"/>
          <w:color w:val="auto"/>
          <w:highlight w:val="none"/>
          <w:lang w:eastAsia="zh-CN"/>
        </w:rPr>
      </w:pPr>
      <w:r>
        <w:rPr>
          <w:rFonts w:hint="eastAsia" w:ascii="Times New Roman" w:hAnsi="Times New Roman"/>
          <w:b/>
          <w:bCs/>
          <w:color w:val="auto"/>
          <w:highlight w:val="none"/>
          <w:lang w:val="en-US" w:eastAsia="zh-CN"/>
        </w:rPr>
        <w:t>三是</w:t>
      </w:r>
      <w:r>
        <w:rPr>
          <w:rFonts w:hint="default" w:ascii="Times New Roman" w:hAnsi="Times New Roman" w:eastAsia="仿宋_GB2312"/>
          <w:b/>
          <w:bCs/>
          <w:color w:val="auto"/>
          <w:highlight w:val="none"/>
          <w:lang w:eastAsia="zh-CN"/>
        </w:rPr>
        <w:t>推进标准化养殖。</w:t>
      </w:r>
      <w:r>
        <w:rPr>
          <w:rFonts w:hint="default" w:ascii="Times New Roman" w:hAnsi="Times New Roman" w:eastAsia="仿宋_GB2312"/>
          <w:color w:val="auto"/>
          <w:highlight w:val="none"/>
          <w:lang w:eastAsia="zh-CN"/>
        </w:rPr>
        <w:t>制定并推广狮头鹅标准化养殖技术规程，强化疫病防控体系建设，提升产品质量安全水平。建立养殖档案管理制度，实现全过程可追溯。</w:t>
      </w:r>
    </w:p>
    <w:p w14:paraId="219B6EA9">
      <w:pPr>
        <w:ind w:firstLine="643" w:firstLineChars="200"/>
        <w:rPr>
          <w:rFonts w:hint="default" w:ascii="Times New Roman" w:hAnsi="Times New Roman" w:eastAsia="仿宋_GB2312"/>
          <w:color w:val="auto"/>
          <w:highlight w:val="none"/>
          <w:lang w:eastAsia="zh-CN"/>
        </w:rPr>
      </w:pPr>
      <w:r>
        <w:rPr>
          <w:rFonts w:hint="eastAsia" w:ascii="Times New Roman" w:hAnsi="Times New Roman"/>
          <w:b/>
          <w:bCs/>
          <w:color w:val="auto"/>
          <w:highlight w:val="none"/>
          <w:lang w:val="en-US" w:eastAsia="zh-CN"/>
        </w:rPr>
        <w:t>四是</w:t>
      </w:r>
      <w:r>
        <w:rPr>
          <w:rFonts w:hint="default" w:ascii="Times New Roman" w:hAnsi="Times New Roman" w:eastAsia="仿宋_GB2312"/>
          <w:b/>
          <w:bCs/>
          <w:color w:val="auto"/>
          <w:highlight w:val="none"/>
          <w:lang w:eastAsia="zh-CN"/>
        </w:rPr>
        <w:t>强化种质资源保护与繁育</w:t>
      </w:r>
      <w:r>
        <w:rPr>
          <w:rFonts w:hint="default" w:ascii="Times New Roman" w:hAnsi="Times New Roman" w:eastAsia="仿宋_GB2312"/>
          <w:color w:val="auto"/>
          <w:highlight w:val="none"/>
          <w:lang w:eastAsia="zh-CN"/>
        </w:rPr>
        <w:t>。建设狮头鹅种质资源保护区和核心繁育基地，开展种鹅选育、提纯复壮工作，提升品种纯度和生产性能。</w:t>
      </w:r>
      <w:r>
        <w:rPr>
          <w:rFonts w:hint="eastAsia" w:ascii="Times New Roman" w:hAnsi="Times New Roman"/>
          <w:color w:val="auto"/>
          <w:highlight w:val="none"/>
          <w:lang w:val="en-US" w:eastAsia="zh-CN"/>
        </w:rPr>
        <w:t>进一步完善狮头鹅遗传背景资料，开展狮头鹅杂交改良研究和分子遗传学（基因测序、特征性状基因定位、基因改良等）研究，以市场为导向，不断培育开发优良品种，加强新品种（配套系）选育和扩繁，提升主要品种核心种源自给率和育种企业国际竞争力。</w:t>
      </w:r>
      <w:r>
        <w:rPr>
          <w:rFonts w:hint="default" w:ascii="Times New Roman" w:hAnsi="Times New Roman" w:eastAsia="仿宋_GB2312"/>
          <w:color w:val="auto"/>
          <w:highlight w:val="none"/>
          <w:lang w:eastAsia="zh-CN"/>
        </w:rPr>
        <w:t>支持企业与科研机构合作，推动种鹅繁育技术创新。</w:t>
      </w:r>
    </w:p>
    <w:p w14:paraId="0DFC1F2A">
      <w:pPr>
        <w:ind w:firstLine="643" w:firstLineChars="200"/>
        <w:rPr>
          <w:rFonts w:hint="default" w:ascii="Times New Roman" w:hAnsi="Times New Roman" w:eastAsia="仿宋_GB2312"/>
          <w:color w:val="auto"/>
          <w:highlight w:val="none"/>
          <w:lang w:eastAsia="zh-CN"/>
        </w:rPr>
      </w:pPr>
      <w:r>
        <w:rPr>
          <w:rFonts w:hint="eastAsia" w:ascii="Times New Roman" w:hAnsi="Times New Roman"/>
          <w:b/>
          <w:bCs/>
          <w:color w:val="auto"/>
          <w:highlight w:val="none"/>
          <w:lang w:val="en-US" w:eastAsia="zh-CN"/>
        </w:rPr>
        <w:t>五是</w:t>
      </w:r>
      <w:r>
        <w:rPr>
          <w:rFonts w:hint="default" w:ascii="Times New Roman" w:hAnsi="Times New Roman" w:eastAsia="仿宋_GB2312"/>
          <w:b/>
          <w:bCs/>
          <w:color w:val="auto"/>
          <w:highlight w:val="none"/>
          <w:lang w:eastAsia="zh-CN"/>
        </w:rPr>
        <w:t>推动规模化经营。</w:t>
      </w:r>
      <w:r>
        <w:rPr>
          <w:rFonts w:hint="default" w:ascii="Times New Roman" w:hAnsi="Times New Roman" w:eastAsia="仿宋_GB2312"/>
          <w:color w:val="auto"/>
          <w:highlight w:val="none"/>
          <w:lang w:eastAsia="zh-CN"/>
        </w:rPr>
        <w:t>鼓励龙头企业、合作社、家庭农场等新型经营主体发展规模化养殖，</w:t>
      </w:r>
      <w:r>
        <w:rPr>
          <w:rFonts w:hint="eastAsia" w:ascii="Times New Roman" w:hAnsi="Times New Roman"/>
          <w:color w:val="auto"/>
          <w:highlight w:val="none"/>
          <w:lang w:val="en-US" w:eastAsia="zh-CN"/>
        </w:rPr>
        <w:t>健全新型经营主体健全运行机制，引导新型经营主体规范化发展，全面调动新型经营主体养殖积极性，提高养殖数量和水平，</w:t>
      </w:r>
      <w:r>
        <w:rPr>
          <w:rFonts w:hint="default" w:ascii="Times New Roman" w:hAnsi="Times New Roman" w:eastAsia="仿宋_GB2312"/>
          <w:color w:val="auto"/>
          <w:highlight w:val="none"/>
          <w:lang w:eastAsia="zh-CN"/>
        </w:rPr>
        <w:t>提升产业集中度和抗风险能力</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为产业发展提供原料支撑</w:t>
      </w:r>
      <w:r>
        <w:rPr>
          <w:rFonts w:hint="default" w:ascii="Times New Roman" w:hAnsi="Times New Roman" w:eastAsia="仿宋_GB2312"/>
          <w:color w:val="auto"/>
          <w:highlight w:val="none"/>
          <w:lang w:eastAsia="zh-CN"/>
        </w:rPr>
        <w:t>。通过“公司+基地+农户”模式，带动小农户参与产业发展。</w:t>
      </w:r>
    </w:p>
    <w:p w14:paraId="7284470F">
      <w:pPr>
        <w:pStyle w:val="4"/>
        <w:spacing w:line="240" w:lineRule="auto"/>
        <w:ind w:firstLine="643"/>
        <w:rPr>
          <w:rFonts w:hint="default" w:ascii="Times New Roman" w:hAnsi="Times New Roman" w:eastAsia="仿宋_GB2312" w:cs="仿宋_GB2312"/>
          <w:color w:val="auto"/>
          <w:szCs w:val="32"/>
          <w:highlight w:val="none"/>
          <w:lang w:eastAsia="zh-CN"/>
        </w:rPr>
      </w:pPr>
      <w:r>
        <w:rPr>
          <w:rFonts w:hint="eastAsia" w:ascii="Times New Roman" w:hAnsi="Times New Roman" w:cs="仿宋_GB2312"/>
          <w:color w:val="auto"/>
          <w:szCs w:val="32"/>
          <w:highlight w:val="none"/>
          <w:lang w:eastAsia="zh-CN"/>
        </w:rPr>
        <w:t>2</w:t>
      </w:r>
      <w:r>
        <w:rPr>
          <w:rFonts w:hint="eastAsia" w:ascii="Times New Roman" w:hAnsi="Times New Roman" w:cs="仿宋_GB2312"/>
          <w:color w:val="auto"/>
          <w:szCs w:val="32"/>
          <w:highlight w:val="none"/>
          <w:lang w:val="en-US" w:eastAsia="zh-CN"/>
        </w:rPr>
        <w:t>.</w:t>
      </w:r>
      <w:r>
        <w:rPr>
          <w:rFonts w:hint="default" w:ascii="Times New Roman" w:hAnsi="Times New Roman" w:eastAsia="仿宋_GB2312" w:cs="仿宋_GB2312"/>
          <w:color w:val="auto"/>
          <w:szCs w:val="32"/>
          <w:highlight w:val="none"/>
          <w:lang w:eastAsia="zh-CN"/>
        </w:rPr>
        <w:t>推动狮头鹅产业融合发展</w:t>
      </w:r>
    </w:p>
    <w:p w14:paraId="0726855D">
      <w:pPr>
        <w:ind w:firstLine="640" w:firstLineChars="200"/>
        <w:rPr>
          <w:rFonts w:hint="default" w:ascii="Times New Roman" w:hAnsi="Times New Roman" w:eastAsia="仿宋_GB2312"/>
          <w:color w:val="auto"/>
          <w:highlight w:val="none"/>
          <w:lang w:eastAsia="zh-CN"/>
        </w:rPr>
      </w:pPr>
      <w:r>
        <w:rPr>
          <w:rFonts w:hint="eastAsia" w:ascii="Times New Roman" w:hAnsi="Times New Roman"/>
          <w:color w:val="auto"/>
          <w:highlight w:val="none"/>
          <w:lang w:val="en-US" w:eastAsia="zh-CN"/>
        </w:rPr>
        <w:t>按照“提质一产、壮大二产、做活三产”思路，不断延长狮头鹅养殖—加工—销售产业链条，</w:t>
      </w:r>
      <w:r>
        <w:rPr>
          <w:rFonts w:hint="default" w:ascii="Times New Roman" w:hAnsi="Times New Roman" w:eastAsia="仿宋_GB2312"/>
          <w:color w:val="auto"/>
          <w:highlight w:val="none"/>
          <w:lang w:eastAsia="zh-CN"/>
        </w:rPr>
        <w:t>提升狮头鹅产业链价值、拓展农业功能、增强产业竞争力</w:t>
      </w:r>
      <w:r>
        <w:rPr>
          <w:rFonts w:hint="eastAsia" w:ascii="Times New Roman" w:hAnsi="Times New Roman"/>
          <w:color w:val="auto"/>
          <w:highlight w:val="none"/>
          <w:lang w:eastAsia="zh-CN"/>
        </w:rPr>
        <w:t>。</w:t>
      </w:r>
    </w:p>
    <w:p w14:paraId="22ADD2BD">
      <w:pPr>
        <w:ind w:firstLine="643" w:firstLineChars="200"/>
        <w:rPr>
          <w:rFonts w:hint="default" w:ascii="Times New Roman" w:hAnsi="Times New Roman" w:eastAsia="仿宋_GB2312"/>
          <w:color w:val="auto"/>
          <w:highlight w:val="none"/>
          <w:lang w:eastAsia="zh-CN"/>
        </w:rPr>
      </w:pPr>
      <w:r>
        <w:rPr>
          <w:rFonts w:hint="eastAsia" w:ascii="Times New Roman" w:hAnsi="Times New Roman"/>
          <w:b/>
          <w:bCs/>
          <w:color w:val="auto"/>
          <w:highlight w:val="none"/>
          <w:lang w:val="en-US" w:eastAsia="zh-CN"/>
        </w:rPr>
        <w:t>一是</w:t>
      </w:r>
      <w:r>
        <w:rPr>
          <w:rFonts w:hint="default" w:ascii="Times New Roman" w:hAnsi="Times New Roman" w:eastAsia="仿宋_GB2312"/>
          <w:b/>
          <w:bCs/>
          <w:color w:val="auto"/>
          <w:highlight w:val="none"/>
          <w:lang w:eastAsia="zh-CN"/>
        </w:rPr>
        <w:t>延伸产业链条。</w:t>
      </w:r>
      <w:r>
        <w:rPr>
          <w:rFonts w:hint="eastAsia" w:ascii="Times New Roman" w:hAnsi="Times New Roman"/>
          <w:b w:val="0"/>
          <w:bCs w:val="0"/>
          <w:color w:val="auto"/>
          <w:highlight w:val="none"/>
          <w:lang w:val="en-US" w:eastAsia="zh-CN"/>
        </w:rPr>
        <w:t>持续培育深加工企业，谋划深加工项目，发展全产业链生产模式。持续调整优化狮头鹅屠宰行业产业结构，逐步形成以现代屠宰加工企业跨区流通和本地供给并重、流通有序的产业布局。</w:t>
      </w:r>
      <w:r>
        <w:rPr>
          <w:rFonts w:hint="default" w:ascii="Times New Roman" w:hAnsi="Times New Roman" w:eastAsia="仿宋_GB2312"/>
          <w:color w:val="auto"/>
          <w:highlight w:val="none"/>
          <w:lang w:eastAsia="zh-CN"/>
        </w:rPr>
        <w:t>支持龙头企业建设鹅肉屠宰加工、熟食制品、休闲食品、生物制品等深加工生产线，提升产品附加值。鼓励发展鹅绒、鹅肝、鹅血等副产品综合利用产业，推动资源“吃干榨净”。</w:t>
      </w:r>
    </w:p>
    <w:p w14:paraId="1FDF2D08">
      <w:pPr>
        <w:rPr>
          <w:rFonts w:hint="default" w:ascii="Times New Roman" w:hAnsi="Times New Roman" w:eastAsia="仿宋_GB2312"/>
          <w:color w:val="auto"/>
          <w:highlight w:val="none"/>
          <w:lang w:eastAsia="zh-CN"/>
        </w:rPr>
      </w:pPr>
      <w:r>
        <w:rPr>
          <w:rFonts w:hint="eastAsia" w:ascii="Times New Roman" w:hAnsi="Times New Roman"/>
          <w:b/>
          <w:bCs/>
          <w:color w:val="auto"/>
          <w:highlight w:val="none"/>
          <w:lang w:val="en-US" w:eastAsia="zh-CN"/>
        </w:rPr>
        <w:t>二是</w:t>
      </w:r>
      <w:r>
        <w:rPr>
          <w:rFonts w:hint="default" w:ascii="Times New Roman" w:hAnsi="Times New Roman" w:eastAsia="仿宋_GB2312"/>
          <w:b/>
          <w:bCs/>
          <w:color w:val="auto"/>
          <w:highlight w:val="none"/>
          <w:lang w:eastAsia="zh-CN"/>
        </w:rPr>
        <w:t>发展冷链物流体系。</w:t>
      </w:r>
      <w:r>
        <w:rPr>
          <w:rFonts w:hint="default" w:ascii="Times New Roman" w:hAnsi="Times New Roman" w:eastAsia="仿宋_GB2312"/>
          <w:color w:val="auto"/>
          <w:highlight w:val="none"/>
          <w:lang w:eastAsia="zh-CN"/>
        </w:rPr>
        <w:t>建设冷链物流中心和配送网络，完善冷藏运输、仓储保鲜等基础设施，解决鹅产品“最后一公里”问题，提升市场流通效率。</w:t>
      </w:r>
      <w:r>
        <w:rPr>
          <w:rFonts w:hint="eastAsia" w:ascii="Times New Roman" w:hAnsi="Times New Roman"/>
          <w:color w:val="auto"/>
          <w:highlight w:val="none"/>
          <w:lang w:val="en-US" w:eastAsia="zh-CN"/>
        </w:rPr>
        <w:t>大力加强鹅肉分割和深加工、保鲜技术研究，使鹅肉产品适合于长途运输，延长保质时间，并保持产品的风味、颜色，促进鹅产品远销外地。</w:t>
      </w:r>
    </w:p>
    <w:p w14:paraId="0F194483">
      <w:pPr>
        <w:rPr>
          <w:rFonts w:hint="default" w:ascii="Times New Roman" w:hAnsi="Times New Roman" w:eastAsia="仿宋_GB2312"/>
          <w:color w:val="auto"/>
          <w:highlight w:val="none"/>
          <w:lang w:eastAsia="zh-CN"/>
        </w:rPr>
      </w:pPr>
      <w:r>
        <w:rPr>
          <w:rFonts w:hint="eastAsia" w:ascii="Times New Roman" w:hAnsi="Times New Roman"/>
          <w:b/>
          <w:bCs/>
          <w:color w:val="auto"/>
          <w:highlight w:val="none"/>
          <w:lang w:val="en-US" w:eastAsia="zh-CN"/>
        </w:rPr>
        <w:t>三是</w:t>
      </w:r>
      <w:r>
        <w:rPr>
          <w:rFonts w:hint="default" w:ascii="Times New Roman" w:hAnsi="Times New Roman" w:eastAsia="仿宋_GB2312"/>
          <w:b/>
          <w:bCs/>
          <w:color w:val="auto"/>
          <w:highlight w:val="none"/>
          <w:lang w:eastAsia="zh-CN"/>
        </w:rPr>
        <w:t>拓展农业多功能性。</w:t>
      </w:r>
      <w:r>
        <w:rPr>
          <w:rFonts w:hint="default" w:ascii="Times New Roman" w:hAnsi="Times New Roman" w:eastAsia="仿宋_GB2312"/>
          <w:color w:val="auto"/>
          <w:highlight w:val="none"/>
          <w:lang w:eastAsia="zh-CN"/>
        </w:rPr>
        <w:t>依托狮头鹅文化资源，</w:t>
      </w:r>
      <w:r>
        <w:rPr>
          <w:rFonts w:hint="eastAsia" w:ascii="Times New Roman" w:hAnsi="Times New Roman"/>
          <w:color w:val="auto"/>
          <w:highlight w:val="none"/>
          <w:lang w:val="en-US" w:eastAsia="zh-CN"/>
        </w:rPr>
        <w:t>深入挖掘旅游观光、休闲娱乐、文化餐饮等方面的功能，</w:t>
      </w:r>
      <w:r>
        <w:rPr>
          <w:rFonts w:hint="default" w:ascii="Times New Roman" w:hAnsi="Times New Roman" w:eastAsia="仿宋_GB2312"/>
          <w:color w:val="auto"/>
          <w:highlight w:val="none"/>
          <w:lang w:eastAsia="zh-CN"/>
        </w:rPr>
        <w:t>发展“鹅文化+旅游”“鹅文化+研学”“鹅文化+餐饮”等新业态。</w:t>
      </w:r>
      <w:r>
        <w:rPr>
          <w:rFonts w:hint="eastAsia" w:ascii="Times New Roman" w:hAnsi="Times New Roman"/>
          <w:color w:val="auto"/>
          <w:highlight w:val="none"/>
          <w:lang w:val="en-US" w:eastAsia="zh-CN"/>
        </w:rPr>
        <w:t>大力发展休闲农业，推动产区变景区、养殖基地变公园，打造以狮头鹅为主题的特色景点和旅游线路，</w:t>
      </w:r>
      <w:r>
        <w:rPr>
          <w:rFonts w:hint="default" w:ascii="Times New Roman" w:hAnsi="Times New Roman" w:eastAsia="仿宋_GB2312"/>
          <w:color w:val="auto"/>
          <w:highlight w:val="none"/>
          <w:lang w:eastAsia="zh-CN"/>
        </w:rPr>
        <w:t>建设鹅文化主题公园、农业观光园、生态餐厅等，打造集生产、观光、体验、研学于一体的文旅融合示范区。</w:t>
      </w:r>
    </w:p>
    <w:p w14:paraId="6F1F8766">
      <w:pPr>
        <w:rPr>
          <w:rFonts w:hint="default" w:ascii="Times New Roman" w:hAnsi="Times New Roman" w:eastAsia="仿宋_GB2312"/>
          <w:color w:val="auto"/>
          <w:highlight w:val="none"/>
          <w:lang w:eastAsia="zh-CN"/>
        </w:rPr>
      </w:pPr>
      <w:r>
        <w:rPr>
          <w:rFonts w:hint="eastAsia" w:ascii="Times New Roman" w:hAnsi="Times New Roman"/>
          <w:b/>
          <w:bCs/>
          <w:color w:val="auto"/>
          <w:highlight w:val="none"/>
          <w:lang w:val="en-US" w:eastAsia="zh-CN"/>
        </w:rPr>
        <w:t>四是</w:t>
      </w:r>
      <w:r>
        <w:rPr>
          <w:rFonts w:hint="default" w:ascii="Times New Roman" w:hAnsi="Times New Roman" w:eastAsia="仿宋_GB2312"/>
          <w:b/>
          <w:bCs/>
          <w:color w:val="auto"/>
          <w:highlight w:val="none"/>
          <w:lang w:eastAsia="zh-CN"/>
        </w:rPr>
        <w:t>推动“互联网+农业”发展。</w:t>
      </w:r>
      <w:r>
        <w:rPr>
          <w:rFonts w:hint="default" w:ascii="Times New Roman" w:hAnsi="Times New Roman" w:eastAsia="仿宋_GB2312"/>
          <w:color w:val="auto"/>
          <w:highlight w:val="none"/>
          <w:lang w:eastAsia="zh-CN"/>
        </w:rPr>
        <w:t>引导企业建设电商平台，发展直播带货、社区团购、定制化销售等新模式，拓展销售渠道。</w:t>
      </w:r>
      <w:r>
        <w:rPr>
          <w:rFonts w:hint="eastAsia" w:ascii="Times New Roman" w:hAnsi="Times New Roman"/>
          <w:color w:val="auto"/>
          <w:highlight w:val="none"/>
          <w:lang w:val="en-US" w:eastAsia="zh-CN"/>
        </w:rPr>
        <w:t>充分应用狮头鹅产业大数据平台</w:t>
      </w:r>
      <w:r>
        <w:rPr>
          <w:rFonts w:hint="default" w:ascii="Times New Roman" w:hAnsi="Times New Roman" w:eastAsia="仿宋_GB2312"/>
          <w:color w:val="auto"/>
          <w:highlight w:val="none"/>
          <w:lang w:eastAsia="zh-CN"/>
        </w:rPr>
        <w:t>，实现种养数据、加工数据、市场数据的整合分析，为产业发展提供决策支持。推动区块链技术在产品质量追溯中的应用，提升消费者信任度。</w:t>
      </w:r>
    </w:p>
    <w:p w14:paraId="70F83C13">
      <w:pPr>
        <w:rPr>
          <w:rFonts w:hint="default" w:ascii="Times New Roman" w:hAnsi="Times New Roman" w:eastAsia="仿宋_GB2312"/>
          <w:color w:val="auto"/>
          <w:highlight w:val="none"/>
          <w:lang w:eastAsia="zh-CN"/>
        </w:rPr>
      </w:pPr>
      <w:r>
        <w:rPr>
          <w:rFonts w:hint="eastAsia" w:ascii="Times New Roman" w:hAnsi="Times New Roman"/>
          <w:b/>
          <w:bCs/>
          <w:color w:val="auto"/>
          <w:highlight w:val="none"/>
          <w:lang w:val="en-US" w:eastAsia="zh-CN"/>
        </w:rPr>
        <w:t>五是</w:t>
      </w:r>
      <w:r>
        <w:rPr>
          <w:rFonts w:hint="default" w:ascii="Times New Roman" w:hAnsi="Times New Roman" w:eastAsia="仿宋_GB2312"/>
          <w:b/>
          <w:bCs/>
          <w:color w:val="auto"/>
          <w:highlight w:val="none"/>
          <w:lang w:eastAsia="zh-CN"/>
        </w:rPr>
        <w:t>打造区域公共品牌。</w:t>
      </w:r>
      <w:r>
        <w:rPr>
          <w:rFonts w:hint="default" w:ascii="Times New Roman" w:hAnsi="Times New Roman" w:eastAsia="仿宋_GB2312"/>
          <w:color w:val="auto"/>
          <w:highlight w:val="none"/>
          <w:lang w:eastAsia="zh-CN"/>
        </w:rPr>
        <w:t>加强“狮头鹅”地理标志保护和品牌建设，统一标识、统一包装、统一宣传，提升品牌知名度和市场影响力。</w:t>
      </w:r>
      <w:r>
        <w:rPr>
          <w:rFonts w:hint="eastAsia" w:ascii="Times New Roman" w:hAnsi="Times New Roman"/>
          <w:color w:val="auto"/>
          <w:highlight w:val="none"/>
          <w:lang w:val="en-US" w:eastAsia="zh-CN"/>
        </w:rPr>
        <w:t>开展品牌发布与产销对接，</w:t>
      </w:r>
      <w:r>
        <w:rPr>
          <w:rFonts w:hint="default" w:ascii="Times New Roman" w:hAnsi="Times New Roman" w:eastAsia="仿宋_GB2312"/>
          <w:color w:val="auto"/>
          <w:highlight w:val="none"/>
          <w:lang w:eastAsia="zh-CN"/>
        </w:rPr>
        <w:t>支持企业参加国内外展会、博览会，拓展高端市场。</w:t>
      </w:r>
    </w:p>
    <w:p w14:paraId="26207986">
      <w:pPr>
        <w:pStyle w:val="4"/>
        <w:spacing w:line="240" w:lineRule="auto"/>
        <w:ind w:firstLine="643"/>
        <w:rPr>
          <w:rFonts w:hint="default" w:ascii="Times New Roman" w:hAnsi="Times New Roman" w:eastAsia="仿宋_GB2312" w:cs="仿宋_GB2312"/>
          <w:color w:val="auto"/>
          <w:szCs w:val="32"/>
          <w:highlight w:val="none"/>
          <w:lang w:eastAsia="zh-CN"/>
        </w:rPr>
      </w:pPr>
      <w:r>
        <w:rPr>
          <w:rFonts w:hint="eastAsia" w:ascii="Times New Roman" w:hAnsi="Times New Roman" w:cs="仿宋_GB2312"/>
          <w:color w:val="auto"/>
          <w:szCs w:val="32"/>
          <w:highlight w:val="none"/>
          <w:lang w:eastAsia="zh-CN"/>
        </w:rPr>
        <w:t>3</w:t>
      </w:r>
      <w:r>
        <w:rPr>
          <w:rFonts w:hint="eastAsia" w:ascii="Times New Roman" w:hAnsi="Times New Roman" w:cs="仿宋_GB2312"/>
          <w:color w:val="auto"/>
          <w:szCs w:val="32"/>
          <w:highlight w:val="none"/>
          <w:lang w:val="en-US" w:eastAsia="zh-CN"/>
        </w:rPr>
        <w:t>.</w:t>
      </w:r>
      <w:r>
        <w:rPr>
          <w:rFonts w:hint="default" w:ascii="Times New Roman" w:hAnsi="Times New Roman" w:eastAsia="仿宋_GB2312" w:cs="仿宋_GB2312"/>
          <w:color w:val="auto"/>
          <w:szCs w:val="32"/>
          <w:highlight w:val="none"/>
          <w:lang w:eastAsia="zh-CN"/>
        </w:rPr>
        <w:t>强化狮头鹅产业科技装备支撑</w:t>
      </w:r>
    </w:p>
    <w:p w14:paraId="15C817D9">
      <w:pPr>
        <w:rPr>
          <w:rFonts w:hint="default" w:ascii="Times New Roman" w:hAnsi="Times New Roman" w:eastAsia="仿宋_GB2312"/>
          <w:color w:val="auto"/>
          <w:highlight w:val="none"/>
          <w:lang w:eastAsia="zh-CN"/>
        </w:rPr>
      </w:pPr>
      <w:r>
        <w:rPr>
          <w:rFonts w:hint="default" w:ascii="Times New Roman" w:hAnsi="Times New Roman" w:eastAsia="仿宋_GB2312"/>
          <w:color w:val="auto"/>
          <w:highlight w:val="none"/>
          <w:lang w:eastAsia="zh-CN"/>
        </w:rPr>
        <w:t>科技创新是推动农业现代化的核心动力。建设期满后，将重点从技术研发、成果转化、智能装备等方面提升狮头鹅产业科技支撑能力。</w:t>
      </w:r>
    </w:p>
    <w:p w14:paraId="3634C346">
      <w:pPr>
        <w:ind w:firstLine="643" w:firstLineChars="200"/>
        <w:rPr>
          <w:rFonts w:hint="default" w:ascii="Times New Roman" w:hAnsi="Times New Roman" w:eastAsia="仿宋_GB2312"/>
          <w:color w:val="auto"/>
          <w:highlight w:val="none"/>
          <w:lang w:eastAsia="zh-CN"/>
        </w:rPr>
      </w:pPr>
      <w:r>
        <w:rPr>
          <w:rFonts w:hint="eastAsia" w:ascii="Times New Roman" w:hAnsi="Times New Roman"/>
          <w:b/>
          <w:bCs/>
          <w:color w:val="auto"/>
          <w:highlight w:val="none"/>
          <w:lang w:val="en-US" w:eastAsia="zh-CN"/>
        </w:rPr>
        <w:t>一是</w:t>
      </w:r>
      <w:r>
        <w:rPr>
          <w:rFonts w:hint="default" w:ascii="Times New Roman" w:hAnsi="Times New Roman" w:eastAsia="仿宋_GB2312"/>
          <w:b/>
          <w:bCs/>
          <w:color w:val="auto"/>
          <w:highlight w:val="none"/>
          <w:lang w:eastAsia="zh-CN"/>
        </w:rPr>
        <w:t>加强科研平台建设。</w:t>
      </w:r>
      <w:r>
        <w:rPr>
          <w:rFonts w:hint="eastAsia" w:ascii="Times New Roman" w:hAnsi="Times New Roman"/>
          <w:b w:val="0"/>
          <w:bCs w:val="0"/>
          <w:color w:val="auto"/>
          <w:highlight w:val="none"/>
          <w:lang w:val="en-US" w:eastAsia="zh-CN"/>
        </w:rPr>
        <w:t>支持汕头市白沙畜禽原种研究所等具有研究基础的科研平台或企业与省内外高等院校、科研院所合作共建</w:t>
      </w:r>
      <w:r>
        <w:rPr>
          <w:rFonts w:hint="default" w:ascii="Times New Roman" w:hAnsi="Times New Roman" w:eastAsia="仿宋_GB2312"/>
          <w:color w:val="auto"/>
          <w:highlight w:val="none"/>
          <w:lang w:eastAsia="zh-CN"/>
        </w:rPr>
        <w:t>狮头鹅产业技术研究院、工程技术中心，开展种质资源保护、疾病防控、营养调控、智能化养殖等关键技术攻关</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研究开发狮头鹅深加工新产品等</w:t>
      </w:r>
      <w:r>
        <w:rPr>
          <w:rFonts w:hint="default" w:ascii="Times New Roman" w:hAnsi="Times New Roman" w:eastAsia="仿宋_GB2312"/>
          <w:color w:val="auto"/>
          <w:highlight w:val="none"/>
          <w:lang w:eastAsia="zh-CN"/>
        </w:rPr>
        <w:t>。</w:t>
      </w:r>
    </w:p>
    <w:p w14:paraId="2D07C36B">
      <w:pPr>
        <w:rPr>
          <w:rFonts w:hint="default" w:ascii="Times New Roman" w:hAnsi="Times New Roman" w:eastAsia="仿宋_GB2312"/>
          <w:color w:val="auto"/>
          <w:highlight w:val="none"/>
          <w:lang w:eastAsia="zh-CN"/>
        </w:rPr>
      </w:pPr>
      <w:r>
        <w:rPr>
          <w:rFonts w:hint="eastAsia" w:ascii="Times New Roman" w:hAnsi="Times New Roman"/>
          <w:b/>
          <w:bCs/>
          <w:color w:val="auto"/>
          <w:highlight w:val="none"/>
          <w:lang w:val="en-US" w:eastAsia="zh-CN"/>
        </w:rPr>
        <w:t>二是</w:t>
      </w:r>
      <w:r>
        <w:rPr>
          <w:rFonts w:hint="default" w:ascii="Times New Roman" w:hAnsi="Times New Roman" w:eastAsia="仿宋_GB2312"/>
          <w:b/>
          <w:bCs/>
          <w:color w:val="auto"/>
          <w:highlight w:val="none"/>
          <w:lang w:eastAsia="zh-CN"/>
        </w:rPr>
        <w:t>推动科技成果落地转化。</w:t>
      </w:r>
      <w:r>
        <w:rPr>
          <w:rFonts w:hint="default" w:ascii="Times New Roman" w:hAnsi="Times New Roman" w:eastAsia="仿宋_GB2312"/>
          <w:color w:val="auto"/>
          <w:highlight w:val="none"/>
          <w:lang w:eastAsia="zh-CN"/>
        </w:rPr>
        <w:t>建立“产学研推”协同机制，鼓励科研成果在产业园内转化应用。设立科技成果转化基金，支持企业引进、消化、再创新先进技术和设备。</w:t>
      </w:r>
    </w:p>
    <w:p w14:paraId="72F0A464">
      <w:pPr>
        <w:rPr>
          <w:rFonts w:hint="default" w:ascii="Times New Roman" w:hAnsi="Times New Roman" w:eastAsia="仿宋_GB2312"/>
          <w:color w:val="auto"/>
          <w:highlight w:val="none"/>
          <w:lang w:eastAsia="zh-CN"/>
        </w:rPr>
      </w:pPr>
      <w:r>
        <w:rPr>
          <w:rFonts w:hint="eastAsia" w:ascii="Times New Roman" w:hAnsi="Times New Roman"/>
          <w:b/>
          <w:bCs/>
          <w:color w:val="auto"/>
          <w:highlight w:val="none"/>
          <w:lang w:val="en-US" w:eastAsia="zh-CN"/>
        </w:rPr>
        <w:t>三是</w:t>
      </w:r>
      <w:r>
        <w:rPr>
          <w:rFonts w:hint="default" w:ascii="Times New Roman" w:hAnsi="Times New Roman" w:eastAsia="仿宋_GB2312"/>
          <w:b/>
          <w:bCs/>
          <w:color w:val="auto"/>
          <w:highlight w:val="none"/>
          <w:lang w:eastAsia="zh-CN"/>
        </w:rPr>
        <w:t>推广智能装备应用。</w:t>
      </w:r>
      <w:r>
        <w:rPr>
          <w:rFonts w:hint="default" w:ascii="Times New Roman" w:hAnsi="Times New Roman" w:eastAsia="仿宋_GB2312"/>
          <w:color w:val="auto"/>
          <w:highlight w:val="none"/>
          <w:lang w:eastAsia="zh-CN"/>
        </w:rPr>
        <w:t>加快物联网、大数据、人工智能在养殖环节的应用，推广自动喂料系统、环境智能监控系统、疫病预警系统等，提升养殖智能化水平。</w:t>
      </w:r>
    </w:p>
    <w:p w14:paraId="77384931">
      <w:pPr>
        <w:rPr>
          <w:rFonts w:hint="default" w:ascii="Times New Roman" w:hAnsi="Times New Roman" w:eastAsia="仿宋_GB2312"/>
          <w:color w:val="auto"/>
          <w:highlight w:val="none"/>
          <w:lang w:eastAsia="zh-CN"/>
        </w:rPr>
      </w:pPr>
      <w:r>
        <w:rPr>
          <w:rFonts w:hint="eastAsia" w:ascii="Times New Roman" w:hAnsi="Times New Roman"/>
          <w:b/>
          <w:bCs/>
          <w:color w:val="auto"/>
          <w:highlight w:val="none"/>
          <w:lang w:val="en-US" w:eastAsia="zh-CN"/>
        </w:rPr>
        <w:t>四是</w:t>
      </w:r>
      <w:r>
        <w:rPr>
          <w:rFonts w:hint="default" w:ascii="Times New Roman" w:hAnsi="Times New Roman" w:eastAsia="仿宋_GB2312"/>
          <w:b/>
          <w:bCs/>
          <w:color w:val="auto"/>
          <w:highlight w:val="none"/>
          <w:lang w:eastAsia="zh-CN"/>
        </w:rPr>
        <w:t>加强技术培训与推广。</w:t>
      </w:r>
      <w:r>
        <w:rPr>
          <w:rFonts w:hint="default" w:ascii="Times New Roman" w:hAnsi="Times New Roman" w:eastAsia="仿宋_GB2312"/>
          <w:color w:val="auto"/>
          <w:highlight w:val="none"/>
          <w:lang w:eastAsia="zh-CN"/>
        </w:rPr>
        <w:t>定期组织技术培训班、现场观摩会，提升养殖户技术水平。建立“专家+技术员+养殖户”三级技术服务网络，提供精准化、专业化指导。</w:t>
      </w:r>
    </w:p>
    <w:p w14:paraId="60FDF47A">
      <w:pPr>
        <w:pStyle w:val="4"/>
        <w:spacing w:line="240" w:lineRule="auto"/>
        <w:ind w:firstLine="643"/>
        <w:rPr>
          <w:rFonts w:hint="default" w:ascii="Times New Roman" w:hAnsi="Times New Roman" w:eastAsia="仿宋_GB2312" w:cs="仿宋_GB2312"/>
          <w:color w:val="auto"/>
          <w:szCs w:val="32"/>
          <w:highlight w:val="none"/>
          <w:lang w:eastAsia="zh-CN"/>
        </w:rPr>
      </w:pPr>
      <w:r>
        <w:rPr>
          <w:rFonts w:hint="eastAsia" w:ascii="Times New Roman" w:hAnsi="Times New Roman" w:cs="仿宋_GB2312"/>
          <w:color w:val="auto"/>
          <w:szCs w:val="32"/>
          <w:highlight w:val="none"/>
          <w:lang w:eastAsia="zh-CN"/>
        </w:rPr>
        <w:t>4</w:t>
      </w:r>
      <w:r>
        <w:rPr>
          <w:rFonts w:hint="eastAsia" w:ascii="Times New Roman" w:hAnsi="Times New Roman" w:cs="仿宋_GB2312"/>
          <w:color w:val="auto"/>
          <w:szCs w:val="32"/>
          <w:highlight w:val="none"/>
          <w:lang w:val="en-US" w:eastAsia="zh-CN"/>
        </w:rPr>
        <w:t>.</w:t>
      </w:r>
      <w:r>
        <w:rPr>
          <w:rFonts w:hint="default" w:ascii="Times New Roman" w:hAnsi="Times New Roman" w:eastAsia="仿宋_GB2312" w:cs="仿宋_GB2312"/>
          <w:color w:val="auto"/>
          <w:szCs w:val="32"/>
          <w:highlight w:val="none"/>
          <w:lang w:eastAsia="zh-CN"/>
        </w:rPr>
        <w:t>推进狮头鹅产业绿色发展</w:t>
      </w:r>
    </w:p>
    <w:p w14:paraId="5577EE03">
      <w:pPr>
        <w:rPr>
          <w:rFonts w:hint="default" w:ascii="Times New Roman" w:hAnsi="Times New Roman" w:eastAsia="仿宋_GB2312"/>
          <w:color w:val="auto"/>
          <w:highlight w:val="none"/>
          <w:lang w:eastAsia="zh-CN"/>
        </w:rPr>
      </w:pPr>
      <w:r>
        <w:rPr>
          <w:rFonts w:hint="default" w:ascii="Times New Roman" w:hAnsi="Times New Roman" w:eastAsia="仿宋_GB2312"/>
          <w:color w:val="auto"/>
          <w:highlight w:val="none"/>
          <w:lang w:eastAsia="zh-CN"/>
        </w:rPr>
        <w:t>绿色发展是农业可持续发展的必由之路。</w:t>
      </w:r>
      <w:r>
        <w:rPr>
          <w:rFonts w:hint="eastAsia" w:ascii="Times New Roman" w:hAnsi="Times New Roman"/>
          <w:color w:val="auto"/>
          <w:highlight w:val="none"/>
          <w:lang w:val="en-US" w:eastAsia="zh-CN"/>
        </w:rPr>
        <w:t>产业园</w:t>
      </w:r>
      <w:r>
        <w:rPr>
          <w:rFonts w:hint="default" w:ascii="Times New Roman" w:hAnsi="Times New Roman" w:eastAsia="仿宋_GB2312"/>
          <w:color w:val="auto"/>
          <w:highlight w:val="none"/>
          <w:lang w:eastAsia="zh-CN"/>
        </w:rPr>
        <w:t>坚持生态优先、绿色发展理念，推动狮头鹅产业绿色转型。</w:t>
      </w:r>
    </w:p>
    <w:p w14:paraId="5532FC23">
      <w:pPr>
        <w:rPr>
          <w:rFonts w:hint="default" w:ascii="Times New Roman" w:hAnsi="Times New Roman" w:eastAsia="仿宋_GB2312"/>
          <w:color w:val="auto"/>
          <w:highlight w:val="none"/>
          <w:lang w:eastAsia="zh-CN"/>
        </w:rPr>
      </w:pPr>
      <w:r>
        <w:rPr>
          <w:rFonts w:hint="eastAsia" w:ascii="Times New Roman" w:hAnsi="Times New Roman"/>
          <w:b/>
          <w:bCs/>
          <w:color w:val="auto"/>
          <w:highlight w:val="none"/>
          <w:lang w:val="en-US" w:eastAsia="zh-CN"/>
        </w:rPr>
        <w:t>一是</w:t>
      </w:r>
      <w:r>
        <w:rPr>
          <w:rFonts w:hint="default" w:ascii="Times New Roman" w:hAnsi="Times New Roman" w:eastAsia="仿宋_GB2312"/>
          <w:b/>
          <w:bCs/>
          <w:color w:val="auto"/>
          <w:highlight w:val="none"/>
          <w:lang w:eastAsia="zh-CN"/>
        </w:rPr>
        <w:t>实施粪污资源化利用工程。</w:t>
      </w:r>
      <w:r>
        <w:rPr>
          <w:rFonts w:hint="default" w:ascii="Times New Roman" w:hAnsi="Times New Roman" w:eastAsia="仿宋_GB2312"/>
          <w:color w:val="auto"/>
          <w:highlight w:val="none"/>
          <w:lang w:eastAsia="zh-CN"/>
        </w:rPr>
        <w:t>推广“种养结合、循环利用”模式，建设有机肥加工厂、沼气工程、粪污处理中心，实现粪污“零排放”。鼓励企业建设“养殖—沼气—种植”循环系统，形成生态闭环。</w:t>
      </w:r>
    </w:p>
    <w:p w14:paraId="738B841C">
      <w:pPr>
        <w:rPr>
          <w:rFonts w:hint="default" w:ascii="Times New Roman" w:hAnsi="Times New Roman" w:eastAsia="仿宋_GB2312"/>
          <w:color w:val="auto"/>
          <w:highlight w:val="none"/>
          <w:lang w:eastAsia="zh-CN"/>
        </w:rPr>
      </w:pPr>
      <w:r>
        <w:rPr>
          <w:rFonts w:hint="eastAsia" w:ascii="Times New Roman" w:hAnsi="Times New Roman"/>
          <w:b/>
          <w:bCs/>
          <w:color w:val="auto"/>
          <w:highlight w:val="none"/>
          <w:lang w:val="en-US" w:eastAsia="zh-CN"/>
        </w:rPr>
        <w:t>二是</w:t>
      </w:r>
      <w:r>
        <w:rPr>
          <w:rFonts w:hint="default" w:ascii="Times New Roman" w:hAnsi="Times New Roman" w:eastAsia="仿宋_GB2312"/>
          <w:b/>
          <w:bCs/>
          <w:color w:val="auto"/>
          <w:highlight w:val="none"/>
          <w:lang w:eastAsia="zh-CN"/>
        </w:rPr>
        <w:t>推广绿色养殖技术。</w:t>
      </w:r>
      <w:r>
        <w:rPr>
          <w:rFonts w:hint="default" w:ascii="Times New Roman" w:hAnsi="Times New Roman" w:eastAsia="仿宋_GB2312"/>
          <w:color w:val="auto"/>
          <w:highlight w:val="none"/>
          <w:lang w:eastAsia="zh-CN"/>
        </w:rPr>
        <w:t>推广低蛋白饲料、生物添加剂、中草药防病等绿色养殖技术，减少抗生素使用，提升产品质量。推广节水、节能、减排技术，降低养殖环境负荷。</w:t>
      </w:r>
    </w:p>
    <w:p w14:paraId="682A30C3">
      <w:pPr>
        <w:rPr>
          <w:rFonts w:hint="default" w:ascii="Times New Roman" w:hAnsi="Times New Roman" w:eastAsia="仿宋_GB2312"/>
          <w:color w:val="auto"/>
          <w:highlight w:val="none"/>
          <w:lang w:eastAsia="zh-CN"/>
        </w:rPr>
      </w:pPr>
      <w:r>
        <w:rPr>
          <w:rFonts w:hint="eastAsia" w:ascii="Times New Roman" w:hAnsi="Times New Roman"/>
          <w:b/>
          <w:bCs/>
          <w:color w:val="auto"/>
          <w:highlight w:val="none"/>
          <w:lang w:val="en-US" w:eastAsia="zh-CN"/>
        </w:rPr>
        <w:t>三是</w:t>
      </w:r>
      <w:r>
        <w:rPr>
          <w:rFonts w:hint="default" w:ascii="Times New Roman" w:hAnsi="Times New Roman" w:eastAsia="仿宋_GB2312"/>
          <w:b/>
          <w:bCs/>
          <w:color w:val="auto"/>
          <w:highlight w:val="none"/>
          <w:lang w:eastAsia="zh-CN"/>
        </w:rPr>
        <w:t>加强疫病防控体系建设。</w:t>
      </w:r>
      <w:r>
        <w:rPr>
          <w:rFonts w:hint="default" w:ascii="Times New Roman" w:hAnsi="Times New Roman" w:eastAsia="仿宋_GB2312"/>
          <w:color w:val="auto"/>
          <w:highlight w:val="none"/>
          <w:lang w:eastAsia="zh-CN"/>
        </w:rPr>
        <w:t>完善动物防疫体系，建立疫情监测预警平台，提升疫病防控能力。加强养殖场生物安全防控，推行封闭式管理、定期消毒、隔离观察等措施。</w:t>
      </w:r>
    </w:p>
    <w:p w14:paraId="083739C3">
      <w:pPr>
        <w:rPr>
          <w:rFonts w:hint="default" w:ascii="Times New Roman" w:hAnsi="Times New Roman" w:eastAsia="仿宋_GB2312"/>
          <w:color w:val="auto"/>
          <w:highlight w:val="none"/>
          <w:lang w:eastAsia="zh-CN"/>
        </w:rPr>
      </w:pPr>
      <w:r>
        <w:rPr>
          <w:rFonts w:hint="eastAsia" w:ascii="Times New Roman" w:hAnsi="Times New Roman"/>
          <w:b/>
          <w:bCs/>
          <w:color w:val="auto"/>
          <w:highlight w:val="none"/>
          <w:lang w:val="en-US" w:eastAsia="zh-CN"/>
        </w:rPr>
        <w:t>四是</w:t>
      </w:r>
      <w:r>
        <w:rPr>
          <w:rFonts w:hint="default" w:ascii="Times New Roman" w:hAnsi="Times New Roman" w:eastAsia="仿宋_GB2312"/>
          <w:b/>
          <w:bCs/>
          <w:color w:val="auto"/>
          <w:highlight w:val="none"/>
          <w:lang w:eastAsia="zh-CN"/>
        </w:rPr>
        <w:t>发展生态种养结合模式。</w:t>
      </w:r>
      <w:r>
        <w:rPr>
          <w:rFonts w:hint="default" w:ascii="Times New Roman" w:hAnsi="Times New Roman" w:eastAsia="仿宋_GB2312"/>
          <w:color w:val="auto"/>
          <w:highlight w:val="none"/>
          <w:lang w:eastAsia="zh-CN"/>
        </w:rPr>
        <w:t>鼓励发展“鹅—</w:t>
      </w:r>
      <w:r>
        <w:rPr>
          <w:rFonts w:hint="eastAsia" w:ascii="Times New Roman" w:hAnsi="Times New Roman"/>
          <w:color w:val="auto"/>
          <w:highlight w:val="none"/>
          <w:lang w:val="en-US" w:eastAsia="zh-CN"/>
        </w:rPr>
        <w:t>草</w:t>
      </w:r>
      <w:r>
        <w:rPr>
          <w:rFonts w:hint="default" w:ascii="Times New Roman" w:hAnsi="Times New Roman" w:eastAsia="仿宋_GB2312"/>
          <w:color w:val="auto"/>
          <w:highlight w:val="none"/>
          <w:lang w:eastAsia="zh-CN"/>
        </w:rPr>
        <w:t>”“鹅—鱼”等复合型种养模式，实现资源循环利用，提升土地利用率和经济效益。</w:t>
      </w:r>
    </w:p>
    <w:p w14:paraId="51F129B2">
      <w:pPr>
        <w:pStyle w:val="4"/>
        <w:spacing w:line="240" w:lineRule="auto"/>
        <w:ind w:firstLine="643"/>
        <w:rPr>
          <w:rFonts w:hint="default" w:ascii="Times New Roman" w:hAnsi="Times New Roman" w:eastAsia="仿宋_GB2312" w:cs="仿宋_GB2312"/>
          <w:color w:val="auto"/>
          <w:szCs w:val="32"/>
          <w:highlight w:val="none"/>
          <w:lang w:eastAsia="zh-CN"/>
        </w:rPr>
      </w:pPr>
      <w:r>
        <w:rPr>
          <w:rFonts w:hint="eastAsia" w:ascii="Times New Roman" w:hAnsi="Times New Roman" w:cs="仿宋_GB2312"/>
          <w:color w:val="auto"/>
          <w:szCs w:val="32"/>
          <w:highlight w:val="none"/>
          <w:lang w:eastAsia="zh-CN"/>
        </w:rPr>
        <w:t>5</w:t>
      </w:r>
      <w:r>
        <w:rPr>
          <w:rFonts w:hint="eastAsia" w:ascii="Times New Roman" w:hAnsi="Times New Roman" w:cs="仿宋_GB2312"/>
          <w:color w:val="auto"/>
          <w:szCs w:val="32"/>
          <w:highlight w:val="none"/>
          <w:lang w:val="en-US" w:eastAsia="zh-CN"/>
        </w:rPr>
        <w:t>.</w:t>
      </w:r>
      <w:r>
        <w:rPr>
          <w:rFonts w:hint="default" w:ascii="Times New Roman" w:hAnsi="Times New Roman" w:eastAsia="仿宋_GB2312" w:cs="仿宋_GB2312"/>
          <w:color w:val="auto"/>
          <w:szCs w:val="32"/>
          <w:highlight w:val="none"/>
          <w:lang w:eastAsia="zh-CN"/>
        </w:rPr>
        <w:t>健全狮头鹅产业联农带农机制</w:t>
      </w:r>
    </w:p>
    <w:p w14:paraId="52DA6044">
      <w:pPr>
        <w:rPr>
          <w:rFonts w:hint="default" w:ascii="Times New Roman" w:hAnsi="Times New Roman"/>
          <w:color w:val="auto"/>
          <w:highlight w:val="none"/>
          <w:lang w:val="en-US" w:eastAsia="zh-CN"/>
        </w:rPr>
      </w:pPr>
      <w:r>
        <w:rPr>
          <w:rFonts w:hint="default" w:ascii="Times New Roman" w:hAnsi="Times New Roman"/>
          <w:color w:val="auto"/>
          <w:highlight w:val="none"/>
          <w:lang w:val="en-US" w:eastAsia="zh-CN"/>
        </w:rPr>
        <w:t>产业园着力构建多元化、可持续的联农带农机制，确保农民能够深度参与产业发展全过程，并持续分享产业链增值收益。通过完善利益联结机制，推动小农户与现代农业有机衔接，真正实现“产业兴、百姓富”的发展目标。</w:t>
      </w:r>
    </w:p>
    <w:p w14:paraId="7C45740C">
      <w:pPr>
        <w:rPr>
          <w:rFonts w:hint="eastAsia" w:ascii="Times New Roman" w:hAnsi="Times New Roman"/>
          <w:b w:val="0"/>
          <w:bCs w:val="0"/>
          <w:color w:val="auto"/>
          <w:highlight w:val="none"/>
          <w:lang w:val="en-US" w:eastAsia="zh-CN"/>
        </w:rPr>
      </w:pPr>
      <w:r>
        <w:rPr>
          <w:rFonts w:hint="eastAsia" w:ascii="Times New Roman" w:hAnsi="Times New Roman"/>
          <w:b/>
          <w:bCs/>
          <w:color w:val="auto"/>
          <w:highlight w:val="none"/>
          <w:lang w:val="en-US" w:eastAsia="zh-CN"/>
        </w:rPr>
        <w:t>一是推广“龙头企业+合作社+农户”发展模式。</w:t>
      </w:r>
      <w:r>
        <w:rPr>
          <w:rFonts w:hint="eastAsia" w:ascii="Times New Roman" w:hAnsi="Times New Roman"/>
          <w:b w:val="0"/>
          <w:bCs w:val="0"/>
          <w:color w:val="auto"/>
          <w:highlight w:val="none"/>
          <w:lang w:val="en-US" w:eastAsia="zh-CN"/>
        </w:rPr>
        <w:t>依托园区内重点龙头企业，积极引导其与本地农民专业合作社、家庭农场和养殖户建立稳定的合作关系，形成以龙头企业为引领、合作社为纽带、农户为基础的利益共享、风险共担的产业共同体。龙头企业负责统一供种、技术指导、质量监管和产品回购，合作社组织农户开展标准化养殖，农户则按照企业要求进行规范化生产，从而实现产供销一体化发展。这种模式不仅提升了养殖效率和产品质量，也增强了农民抵御市场风险的能力。</w:t>
      </w:r>
    </w:p>
    <w:p w14:paraId="6AF28026">
      <w:pPr>
        <w:rPr>
          <w:rFonts w:hint="eastAsia" w:ascii="Times New Roman" w:hAnsi="Times New Roman"/>
          <w:b w:val="0"/>
          <w:bCs w:val="0"/>
          <w:color w:val="auto"/>
          <w:highlight w:val="none"/>
          <w:lang w:val="en-US" w:eastAsia="zh-CN"/>
        </w:rPr>
      </w:pPr>
      <w:r>
        <w:rPr>
          <w:rFonts w:hint="eastAsia" w:ascii="Times New Roman" w:hAnsi="Times New Roman"/>
          <w:b/>
          <w:bCs/>
          <w:color w:val="auto"/>
          <w:highlight w:val="none"/>
          <w:lang w:val="en-US" w:eastAsia="zh-CN"/>
        </w:rPr>
        <w:t>二是大力发展订单农业。</w:t>
      </w:r>
      <w:r>
        <w:rPr>
          <w:rFonts w:hint="eastAsia" w:ascii="Times New Roman" w:hAnsi="Times New Roman"/>
          <w:b w:val="0"/>
          <w:bCs w:val="0"/>
          <w:color w:val="auto"/>
          <w:highlight w:val="none"/>
          <w:lang w:val="en-US" w:eastAsia="zh-CN"/>
        </w:rPr>
        <w:t>积极引导加工企业与养殖户签订长期保底收购合同，明确收购价格、数量及质量标准，确保养殖户有稳定的销售渠道和合理收益预期。同时，探索实施“保底价+二次分红”机制，在保障基础收益的基础上，</w:t>
      </w:r>
      <w:r>
        <w:rPr>
          <w:rFonts w:hint="default" w:ascii="Times New Roman" w:hAnsi="Times New Roman"/>
          <w:b w:val="0"/>
          <w:bCs w:val="0"/>
          <w:color w:val="auto"/>
          <w:highlight w:val="none"/>
          <w:lang w:val="en-US" w:eastAsia="zh-CN"/>
        </w:rPr>
        <w:t>让农户从企业利润中获得额外分红，</w:t>
      </w:r>
      <w:r>
        <w:rPr>
          <w:rFonts w:hint="eastAsia" w:ascii="Times New Roman" w:hAnsi="Times New Roman"/>
          <w:b w:val="0"/>
          <w:bCs w:val="0"/>
          <w:color w:val="auto"/>
          <w:highlight w:val="none"/>
          <w:lang w:val="en-US" w:eastAsia="zh-CN"/>
        </w:rPr>
        <w:t>进一步提升收入水平。此外，鼓励企业开发定制化产品，满足不同消费群体需求，拓展高端市场，带动订单农业向纵深发展。</w:t>
      </w:r>
    </w:p>
    <w:p w14:paraId="44BE3775">
      <w:pPr>
        <w:rPr>
          <w:rFonts w:hint="eastAsia" w:ascii="Times New Roman" w:hAnsi="Times New Roman"/>
          <w:b w:val="0"/>
          <w:bCs w:val="0"/>
          <w:color w:val="auto"/>
          <w:highlight w:val="none"/>
          <w:lang w:val="en-US" w:eastAsia="zh-CN"/>
        </w:rPr>
      </w:pPr>
      <w:r>
        <w:rPr>
          <w:rFonts w:hint="eastAsia" w:ascii="Times New Roman" w:hAnsi="Times New Roman"/>
          <w:b/>
          <w:bCs/>
          <w:color w:val="auto"/>
          <w:highlight w:val="none"/>
          <w:lang w:val="en-US" w:eastAsia="zh-CN"/>
        </w:rPr>
        <w:t>三是培育壮大新型农业经营主体。</w:t>
      </w:r>
      <w:r>
        <w:rPr>
          <w:rFonts w:hint="eastAsia" w:ascii="Times New Roman" w:hAnsi="Times New Roman"/>
          <w:b w:val="0"/>
          <w:bCs w:val="0"/>
          <w:color w:val="auto"/>
          <w:highlight w:val="none"/>
          <w:lang w:val="en-US" w:eastAsia="zh-CN"/>
        </w:rPr>
        <w:t>支持本地合作社、家庭农场和种养大户做大做强，提升其在组织管理、技术服务、市场营销等方面的能力，增强其对小农户的带动作用。鼓励返乡农民工、退伍军人、大学生等返乡创业人员积极参与狮头鹅产业发展，创办养殖场、加工厂或电商销售平台，带动当地就业和经济发展。同时，加强对新型经营主体的政策扶持，包括财政补贴、金融信贷、用地保障等，为其发展提供有力支撑。</w:t>
      </w:r>
    </w:p>
    <w:p w14:paraId="4D47B519">
      <w:pPr>
        <w:rPr>
          <w:rFonts w:hint="eastAsia" w:ascii="Times New Roman" w:hAnsi="Times New Roman"/>
          <w:b w:val="0"/>
          <w:bCs w:val="0"/>
          <w:color w:val="auto"/>
          <w:highlight w:val="none"/>
          <w:lang w:val="en-US" w:eastAsia="zh-CN"/>
        </w:rPr>
      </w:pPr>
      <w:r>
        <w:rPr>
          <w:rFonts w:hint="eastAsia" w:ascii="Times New Roman" w:hAnsi="Times New Roman"/>
          <w:b/>
          <w:bCs/>
          <w:color w:val="auto"/>
          <w:highlight w:val="none"/>
          <w:lang w:val="en-US" w:eastAsia="zh-CN"/>
        </w:rPr>
        <w:t>四是加强技能培训与就业服务体系建设。</w:t>
      </w:r>
      <w:r>
        <w:rPr>
          <w:rFonts w:hint="eastAsia" w:ascii="Times New Roman" w:hAnsi="Times New Roman"/>
          <w:b w:val="0"/>
          <w:bCs w:val="0"/>
          <w:color w:val="auto"/>
          <w:highlight w:val="none"/>
          <w:lang w:val="en-US" w:eastAsia="zh-CN"/>
        </w:rPr>
        <w:t>围绕狮头鹅全产业链发展需求，组织开展多层次、多形式的技术培训和职业能力提升活动，涵盖种鹅繁育、科学饲养、疫病防控、饲料配比、屠宰加工、冷链物流、市场营销等多个环节，全面提升从业人员的专业素质和技术水平。同时，依托产业园设立就业服务中心，搭建用工信息平台，及时发布岗位需求信息，为农户提供技能提升、创业辅导、就业对接等一站式服务，帮助更多农村劳动力实现就地就近就业或自主创业。</w:t>
      </w:r>
    </w:p>
    <w:p w14:paraId="5CDDD8D4">
      <w:pPr>
        <w:rPr>
          <w:rFonts w:hint="eastAsia" w:ascii="Times New Roman" w:hAnsi="Times New Roman"/>
          <w:b w:val="0"/>
          <w:bCs w:val="0"/>
          <w:color w:val="auto"/>
          <w:highlight w:val="none"/>
          <w:lang w:val="en-US" w:eastAsia="zh-CN"/>
        </w:rPr>
      </w:pPr>
      <w:r>
        <w:rPr>
          <w:rFonts w:hint="eastAsia" w:ascii="Times New Roman" w:hAnsi="Times New Roman"/>
          <w:b/>
          <w:bCs/>
          <w:color w:val="auto"/>
          <w:highlight w:val="none"/>
          <w:lang w:val="en-US" w:eastAsia="zh-CN"/>
        </w:rPr>
        <w:t>五是探索股份合作机制，促进农民变股东。</w:t>
      </w:r>
      <w:r>
        <w:rPr>
          <w:rFonts w:hint="eastAsia" w:ascii="Times New Roman" w:hAnsi="Times New Roman"/>
          <w:b w:val="0"/>
          <w:bCs w:val="0"/>
          <w:color w:val="auto"/>
          <w:highlight w:val="none"/>
          <w:lang w:val="en-US" w:eastAsia="zh-CN"/>
        </w:rPr>
        <w:t>鼓励农户以土地经营权、劳动力、资金等方式入股园区建设项目，成为产业园发展的参与者和受益者。例如，引导农户将土地流转给合作社或企业，换取股权并享受分红；支持农户以劳务入股方式参与养殖场运营，获取工资性收入和分红收益；推动村集体经济组织整合资源，以集体资产入股产业园项目，增强村级集体经济“造血功能”，实现集体增收与农民致富双赢。通过股份合作机制，有效激发农民参与产业发展的积极性，增强其主人翁意识和发展信心。</w:t>
      </w:r>
    </w:p>
    <w:p w14:paraId="182D72C8">
      <w:pPr>
        <w:pStyle w:val="4"/>
        <w:spacing w:line="240" w:lineRule="auto"/>
        <w:ind w:firstLine="643"/>
        <w:rPr>
          <w:rFonts w:hint="default" w:ascii="Times New Roman" w:hAnsi="Times New Roman" w:eastAsia="仿宋_GB2312" w:cs="仿宋_GB2312"/>
          <w:color w:val="auto"/>
          <w:szCs w:val="32"/>
          <w:highlight w:val="none"/>
          <w:lang w:eastAsia="zh-CN"/>
        </w:rPr>
      </w:pPr>
      <w:r>
        <w:rPr>
          <w:rFonts w:hint="eastAsia" w:ascii="Times New Roman" w:hAnsi="Times New Roman" w:cs="仿宋_GB2312"/>
          <w:color w:val="auto"/>
          <w:szCs w:val="32"/>
          <w:highlight w:val="none"/>
          <w:lang w:eastAsia="zh-CN"/>
        </w:rPr>
        <w:t>6</w:t>
      </w:r>
      <w:r>
        <w:rPr>
          <w:rFonts w:hint="eastAsia" w:ascii="Times New Roman" w:hAnsi="Times New Roman" w:cs="仿宋_GB2312"/>
          <w:color w:val="auto"/>
          <w:szCs w:val="32"/>
          <w:highlight w:val="none"/>
          <w:lang w:val="en-US" w:eastAsia="zh-CN"/>
        </w:rPr>
        <w:t>.</w:t>
      </w:r>
      <w:r>
        <w:rPr>
          <w:rFonts w:hint="default" w:ascii="Times New Roman" w:hAnsi="Times New Roman" w:eastAsia="仿宋_GB2312" w:cs="仿宋_GB2312"/>
          <w:color w:val="auto"/>
          <w:szCs w:val="32"/>
          <w:highlight w:val="none"/>
          <w:lang w:eastAsia="zh-CN"/>
        </w:rPr>
        <w:t>优化狮头鹅产业园运营管理机制</w:t>
      </w:r>
    </w:p>
    <w:p w14:paraId="291F5188">
      <w:pPr>
        <w:rPr>
          <w:rFonts w:hint="default" w:ascii="Times New Roman" w:hAnsi="Times New Roman" w:eastAsia="仿宋_GB2312"/>
          <w:color w:val="auto"/>
          <w:highlight w:val="none"/>
          <w:lang w:eastAsia="zh-CN"/>
        </w:rPr>
      </w:pPr>
      <w:r>
        <w:rPr>
          <w:rFonts w:hint="eastAsia" w:ascii="Times New Roman" w:hAnsi="Times New Roman"/>
          <w:color w:val="auto"/>
          <w:highlight w:val="none"/>
          <w:lang w:val="en-US" w:eastAsia="zh-CN"/>
        </w:rPr>
        <w:t>产业园将</w:t>
      </w:r>
      <w:r>
        <w:rPr>
          <w:rFonts w:hint="default" w:ascii="Times New Roman" w:hAnsi="Times New Roman" w:eastAsia="仿宋_GB2312"/>
          <w:color w:val="auto"/>
          <w:highlight w:val="none"/>
          <w:lang w:eastAsia="zh-CN"/>
        </w:rPr>
        <w:t>从组织架构、服务体系、招商引资、政策扶持等方面优化园区管理机制，提升园区治理能力和运营效率。</w:t>
      </w:r>
    </w:p>
    <w:p w14:paraId="07FCD92A">
      <w:pPr>
        <w:rPr>
          <w:rFonts w:hint="default" w:ascii="Times New Roman" w:hAnsi="Times New Roman" w:eastAsia="仿宋_GB2312"/>
          <w:color w:val="auto"/>
          <w:highlight w:val="none"/>
          <w:lang w:eastAsia="zh-CN"/>
        </w:rPr>
      </w:pPr>
      <w:r>
        <w:rPr>
          <w:rFonts w:hint="eastAsia" w:ascii="Times New Roman" w:hAnsi="Times New Roman"/>
          <w:b/>
          <w:bCs/>
          <w:color w:val="auto"/>
          <w:highlight w:val="none"/>
          <w:lang w:val="en-US" w:eastAsia="zh-CN"/>
        </w:rPr>
        <w:t>一是</w:t>
      </w:r>
      <w:r>
        <w:rPr>
          <w:rFonts w:hint="default" w:ascii="Times New Roman" w:hAnsi="Times New Roman" w:eastAsia="仿宋_GB2312"/>
          <w:b/>
          <w:bCs/>
          <w:color w:val="auto"/>
          <w:highlight w:val="none"/>
          <w:lang w:eastAsia="zh-CN"/>
        </w:rPr>
        <w:t>健全管理组织体系。</w:t>
      </w:r>
      <w:r>
        <w:rPr>
          <w:rFonts w:hint="default" w:ascii="Times New Roman" w:hAnsi="Times New Roman" w:eastAsia="仿宋_GB2312"/>
          <w:color w:val="auto"/>
          <w:highlight w:val="none"/>
          <w:lang w:eastAsia="zh-CN"/>
        </w:rPr>
        <w:t>产业园管理委员会统筹协调产业发展、项目推进、政策落实等工作。明确部门职责，形成高效协同的运行机制。</w:t>
      </w:r>
    </w:p>
    <w:p w14:paraId="4417243F">
      <w:pPr>
        <w:rPr>
          <w:rFonts w:hint="default" w:ascii="Times New Roman" w:hAnsi="Times New Roman" w:eastAsia="仿宋_GB2312"/>
          <w:color w:val="auto"/>
          <w:highlight w:val="none"/>
          <w:lang w:eastAsia="zh-CN"/>
        </w:rPr>
      </w:pPr>
      <w:r>
        <w:rPr>
          <w:rFonts w:hint="eastAsia" w:ascii="Times New Roman" w:hAnsi="Times New Roman"/>
          <w:b/>
          <w:bCs/>
          <w:color w:val="auto"/>
          <w:highlight w:val="none"/>
          <w:lang w:val="en-US" w:eastAsia="zh-CN"/>
        </w:rPr>
        <w:t>二是</w:t>
      </w:r>
      <w:r>
        <w:rPr>
          <w:rFonts w:hint="default" w:ascii="Times New Roman" w:hAnsi="Times New Roman" w:eastAsia="仿宋_GB2312"/>
          <w:b/>
          <w:bCs/>
          <w:color w:val="auto"/>
          <w:highlight w:val="none"/>
          <w:lang w:eastAsia="zh-CN"/>
        </w:rPr>
        <w:t>完善园区服务体系。</w:t>
      </w:r>
      <w:r>
        <w:rPr>
          <w:rFonts w:hint="default" w:ascii="Times New Roman" w:hAnsi="Times New Roman" w:eastAsia="仿宋_GB2312"/>
          <w:color w:val="auto"/>
          <w:highlight w:val="none"/>
          <w:lang w:eastAsia="zh-CN"/>
        </w:rPr>
        <w:t>建设产业园服务中心，提供政策咨询、项目申报、金融支持、法律服务等一站式服务。建立企业服务专员制度，为企业提供精准化服务。</w:t>
      </w:r>
    </w:p>
    <w:p w14:paraId="0CF66F50">
      <w:pPr>
        <w:rPr>
          <w:rFonts w:hint="default" w:ascii="Times New Roman" w:hAnsi="Times New Roman" w:eastAsia="仿宋_GB2312"/>
          <w:color w:val="auto"/>
          <w:highlight w:val="none"/>
          <w:lang w:eastAsia="zh-CN"/>
        </w:rPr>
      </w:pPr>
      <w:r>
        <w:rPr>
          <w:rFonts w:hint="eastAsia" w:ascii="Times New Roman" w:hAnsi="Times New Roman"/>
          <w:b/>
          <w:bCs/>
          <w:color w:val="auto"/>
          <w:highlight w:val="none"/>
          <w:lang w:val="en-US" w:eastAsia="zh-CN"/>
        </w:rPr>
        <w:t>三是</w:t>
      </w:r>
      <w:r>
        <w:rPr>
          <w:rFonts w:hint="default" w:ascii="Times New Roman" w:hAnsi="Times New Roman" w:eastAsia="仿宋_GB2312"/>
          <w:b/>
          <w:bCs/>
          <w:color w:val="auto"/>
          <w:highlight w:val="none"/>
          <w:lang w:eastAsia="zh-CN"/>
        </w:rPr>
        <w:t>加强招商引资和项目管理。</w:t>
      </w:r>
      <w:r>
        <w:rPr>
          <w:rFonts w:hint="default" w:ascii="Times New Roman" w:hAnsi="Times New Roman" w:eastAsia="仿宋_GB2312"/>
          <w:color w:val="auto"/>
          <w:highlight w:val="none"/>
          <w:lang w:eastAsia="zh-CN"/>
        </w:rPr>
        <w:t>制定产业发展招商目录，重点引进龙头企业、科技型企业、加工企业等。建立项目库管理制度，强化项目全过程管理，确保项目落地见效。</w:t>
      </w:r>
    </w:p>
    <w:p w14:paraId="571CA156">
      <w:pPr>
        <w:rPr>
          <w:rFonts w:hint="default" w:ascii="Times New Roman" w:hAnsi="Times New Roman" w:eastAsia="仿宋_GB2312"/>
          <w:color w:val="auto"/>
          <w:highlight w:val="none"/>
          <w:lang w:eastAsia="zh-CN"/>
        </w:rPr>
      </w:pPr>
      <w:r>
        <w:rPr>
          <w:rFonts w:hint="eastAsia" w:ascii="Times New Roman" w:hAnsi="Times New Roman"/>
          <w:b/>
          <w:bCs/>
          <w:color w:val="auto"/>
          <w:highlight w:val="none"/>
          <w:lang w:val="en-US" w:eastAsia="zh-CN"/>
        </w:rPr>
        <w:t>四是</w:t>
      </w:r>
      <w:r>
        <w:rPr>
          <w:rFonts w:hint="default" w:ascii="Times New Roman" w:hAnsi="Times New Roman" w:eastAsia="仿宋_GB2312"/>
          <w:b/>
          <w:bCs/>
          <w:color w:val="auto"/>
          <w:highlight w:val="none"/>
          <w:lang w:eastAsia="zh-CN"/>
        </w:rPr>
        <w:t>强化财政金融支持。</w:t>
      </w:r>
      <w:r>
        <w:rPr>
          <w:rFonts w:hint="default" w:ascii="Times New Roman" w:hAnsi="Times New Roman" w:eastAsia="仿宋_GB2312"/>
          <w:color w:val="auto"/>
          <w:highlight w:val="none"/>
          <w:lang w:eastAsia="zh-CN"/>
        </w:rPr>
        <w:t>设立产业园发展专项资金，支持基础设施建设、科技创新、品牌培育等。鼓励金融机构开发“</w:t>
      </w:r>
      <w:r>
        <w:rPr>
          <w:rFonts w:hint="eastAsia" w:ascii="Times New Roman" w:hAnsi="Times New Roman"/>
          <w:color w:val="auto"/>
          <w:highlight w:val="none"/>
          <w:lang w:val="en-US" w:eastAsia="zh-CN"/>
        </w:rPr>
        <w:t>狮头鹅贷</w:t>
      </w:r>
      <w:r>
        <w:rPr>
          <w:rFonts w:hint="default" w:ascii="Times New Roman" w:hAnsi="Times New Roman" w:eastAsia="仿宋_GB2312"/>
          <w:color w:val="auto"/>
          <w:highlight w:val="none"/>
          <w:lang w:eastAsia="zh-CN"/>
        </w:rPr>
        <w:t>”“农业贷”等特色金融产品，缓解企业融资难题。</w:t>
      </w:r>
    </w:p>
    <w:p w14:paraId="75DFB9CE">
      <w:pPr>
        <w:rPr>
          <w:rFonts w:hint="default" w:ascii="Times New Roman" w:hAnsi="Times New Roman" w:eastAsia="仿宋_GB2312"/>
          <w:color w:val="auto"/>
          <w:highlight w:val="none"/>
          <w:lang w:eastAsia="zh-CN"/>
        </w:rPr>
      </w:pPr>
      <w:r>
        <w:rPr>
          <w:rFonts w:hint="eastAsia" w:ascii="Times New Roman" w:hAnsi="Times New Roman"/>
          <w:b/>
          <w:bCs/>
          <w:color w:val="auto"/>
          <w:highlight w:val="none"/>
          <w:lang w:val="en-US" w:eastAsia="zh-CN"/>
        </w:rPr>
        <w:t>五是</w:t>
      </w:r>
      <w:r>
        <w:rPr>
          <w:rFonts w:hint="default" w:ascii="Times New Roman" w:hAnsi="Times New Roman" w:eastAsia="仿宋_GB2312"/>
          <w:b/>
          <w:bCs/>
          <w:color w:val="auto"/>
          <w:highlight w:val="none"/>
          <w:lang w:eastAsia="zh-CN"/>
        </w:rPr>
        <w:t>推动市场化运营机制。</w:t>
      </w:r>
      <w:r>
        <w:rPr>
          <w:rFonts w:hint="default" w:ascii="Times New Roman" w:hAnsi="Times New Roman" w:eastAsia="仿宋_GB2312"/>
          <w:color w:val="auto"/>
          <w:highlight w:val="none"/>
          <w:lang w:eastAsia="zh-CN"/>
        </w:rPr>
        <w:t>探索“政府引导+企业主导+社会参与”的市场化运营模式，引入专业运营公司，提升园区管理专业化水平。鼓励社会资本参与园区基础设施、公共服务设施建设，形成多元投入机制。</w:t>
      </w:r>
    </w:p>
    <w:p w14:paraId="0B55A9EF">
      <w:pPr>
        <w:rPr>
          <w:rFonts w:hint="default" w:ascii="Times New Roman" w:hAnsi="Times New Roman" w:eastAsia="仿宋_GB2312"/>
          <w:color w:val="auto"/>
          <w:highlight w:val="none"/>
          <w:lang w:eastAsia="zh-CN"/>
        </w:rPr>
      </w:pPr>
    </w:p>
    <w:sectPr>
      <w:pgSz w:w="11906" w:h="16838"/>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光小标宋_CNKI">
    <w:altName w:val="宋体"/>
    <w:panose1 w:val="00000000000000000000"/>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C0170">
    <w:pPr>
      <w:pStyle w:val="1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D9DF1">
    <w:pPr>
      <w:widowControl w:val="0"/>
      <w:snapToGrid w:val="0"/>
      <w:jc w:val="left"/>
      <w:rPr>
        <w:rFonts w:asciiTheme="minorHAnsi" w:hAnsiTheme="minorHAnsi" w:eastAsiaTheme="minorEastAsia" w:cstheme="minorBidi"/>
        <w:kern w:val="2"/>
        <w:sz w:val="18"/>
        <w:szCs w:val="22"/>
        <w:lang w:val="en-US" w:eastAsia="zh-CN" w:bidi="ar-S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5278BB">
                          <w:pPr>
                            <w:pStyle w:val="19"/>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25278BB">
                    <w:pPr>
                      <w:pStyle w:val="19"/>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02639">
    <w:pPr>
      <w:pStyle w:val="1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B1E955">
                          <w:pPr>
                            <w:pStyle w:val="19"/>
                            <w:rPr>
                              <w:rFonts w:ascii="Times New Roman" w:hAnsi="Times New Roman" w:cs="Times New Roman"/>
                              <w:sz w:val="24"/>
                              <w:szCs w:val="36"/>
                            </w:rPr>
                          </w:pPr>
                          <w:r>
                            <w:rPr>
                              <w:rFonts w:ascii="Times New Roman" w:hAnsi="Times New Roman" w:cs="Times New Roman"/>
                              <w:sz w:val="24"/>
                              <w:szCs w:val="36"/>
                            </w:rPr>
                            <w:fldChar w:fldCharType="begin"/>
                          </w:r>
                          <w:r>
                            <w:rPr>
                              <w:rFonts w:ascii="Times New Roman" w:hAnsi="Times New Roman" w:cs="Times New Roman"/>
                              <w:sz w:val="24"/>
                              <w:szCs w:val="36"/>
                            </w:rPr>
                            <w:instrText xml:space="preserve"> PAGE  \* MERGEFORMAT </w:instrText>
                          </w:r>
                          <w:r>
                            <w:rPr>
                              <w:rFonts w:ascii="Times New Roman" w:hAnsi="Times New Roman" w:cs="Times New Roman"/>
                              <w:sz w:val="24"/>
                              <w:szCs w:val="36"/>
                            </w:rPr>
                            <w:fldChar w:fldCharType="separate"/>
                          </w:r>
                          <w:r>
                            <w:rPr>
                              <w:rFonts w:ascii="Times New Roman" w:hAnsi="Times New Roman" w:cs="Times New Roman"/>
                              <w:sz w:val="24"/>
                              <w:szCs w:val="36"/>
                            </w:rPr>
                            <w:t>12</w:t>
                          </w:r>
                          <w:r>
                            <w:rPr>
                              <w:rFonts w:ascii="Times New Roman" w:hAnsi="Times New Roman" w:cs="Times New Roman"/>
                              <w:sz w:val="24"/>
                              <w:szCs w:val="36"/>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F6ANssBAACc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UBy74xYHfvn+7fLj1+XnV7Ks&#10;Vq9zh/oANSY+BExNw50fcG9mP6AzCx9UtPmLkgjGsb/na3/lkIjIj9ar9brCkMDYfEF89vg8REhv&#10;pbckGw2NOMDSV356D2lMnVNyNefvtTFliMb95UDM7GGZ+8gxW2nYD5OgvW/PqKfH2TfU4apTYt45&#10;bG1ek9mIs7GfjWOI+tAhtWXhBeH2mJBE4ZYrjLBTYRxaUTctWN6KP+8l6/Gn2v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OBegDbLAQAAnAMAAA4AAAAAAAAAAQAgAAAAHgEAAGRycy9lMm9E&#10;b2MueG1sUEsFBgAAAAAGAAYAWQEAAFsFAAAAAA==&#10;">
              <v:fill on="f" focussize="0,0"/>
              <v:stroke on="f"/>
              <v:imagedata o:title=""/>
              <o:lock v:ext="edit" aspectratio="f"/>
              <v:textbox inset="0mm,0mm,0mm,0mm" style="mso-fit-shape-to-text:t;">
                <w:txbxContent>
                  <w:p w14:paraId="05B1E955">
                    <w:pPr>
                      <w:pStyle w:val="19"/>
                      <w:rPr>
                        <w:rFonts w:ascii="Times New Roman" w:hAnsi="Times New Roman" w:cs="Times New Roman"/>
                        <w:sz w:val="24"/>
                        <w:szCs w:val="36"/>
                      </w:rPr>
                    </w:pPr>
                    <w:r>
                      <w:rPr>
                        <w:rFonts w:ascii="Times New Roman" w:hAnsi="Times New Roman" w:cs="Times New Roman"/>
                        <w:sz w:val="24"/>
                        <w:szCs w:val="36"/>
                      </w:rPr>
                      <w:fldChar w:fldCharType="begin"/>
                    </w:r>
                    <w:r>
                      <w:rPr>
                        <w:rFonts w:ascii="Times New Roman" w:hAnsi="Times New Roman" w:cs="Times New Roman"/>
                        <w:sz w:val="24"/>
                        <w:szCs w:val="36"/>
                      </w:rPr>
                      <w:instrText xml:space="preserve"> PAGE  \* MERGEFORMAT </w:instrText>
                    </w:r>
                    <w:r>
                      <w:rPr>
                        <w:rFonts w:ascii="Times New Roman" w:hAnsi="Times New Roman" w:cs="Times New Roman"/>
                        <w:sz w:val="24"/>
                        <w:szCs w:val="36"/>
                      </w:rPr>
                      <w:fldChar w:fldCharType="separate"/>
                    </w:r>
                    <w:r>
                      <w:rPr>
                        <w:rFonts w:ascii="Times New Roman" w:hAnsi="Times New Roman" w:cs="Times New Roman"/>
                        <w:sz w:val="24"/>
                        <w:szCs w:val="36"/>
                      </w:rPr>
                      <w:t>12</w:t>
                    </w:r>
                    <w:r>
                      <w:rPr>
                        <w:rFonts w:ascii="Times New Roman" w:hAnsi="Times New Roman" w:cs="Times New Roman"/>
                        <w:sz w:val="24"/>
                        <w:szCs w:val="36"/>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418B1">
    <w:pPr>
      <w:widowControl w:val="0"/>
      <w:pBdr>
        <w:top w:val="none" w:color="auto" w:sz="0" w:space="1"/>
        <w:left w:val="none" w:color="auto" w:sz="0" w:space="4"/>
        <w:bottom w:val="none" w:color="auto" w:sz="0" w:space="1"/>
        <w:right w:val="none" w:color="auto" w:sz="0" w:space="4"/>
      </w:pBdr>
      <w:snapToGrid w:val="0"/>
      <w:jc w:val="center"/>
      <w:rPr>
        <w:rFonts w:hint="default" w:ascii="仿宋_GB2312" w:hAnsi="仿宋_GB2312" w:eastAsia="仿宋_GB2312" w:cs="仿宋_GB2312"/>
        <w:kern w:val="2"/>
        <w:sz w:val="18"/>
        <w:szCs w:val="18"/>
        <w:lang w:val="en-US" w:eastAsia="zh-CN" w:bidi="ar-SA"/>
      </w:rPr>
    </w:pPr>
    <w:r>
      <w:rPr>
        <w:rFonts w:hint="eastAsia" w:ascii="仿宋_GB2312" w:hAnsi="仿宋_GB2312" w:eastAsia="仿宋_GB2312" w:cs="仿宋_GB2312"/>
        <w:kern w:val="2"/>
        <w:sz w:val="18"/>
        <w:szCs w:val="18"/>
        <w:lang w:val="en-US" w:eastAsia="zh-CN" w:bidi="ar-SA"/>
      </w:rPr>
      <w:t>广东省汕头市澄海区国家现代农业产业园</w:t>
    </w:r>
    <w:r>
      <w:rPr>
        <w:rFonts w:hint="eastAsia" w:cs="仿宋_GB2312"/>
        <w:kern w:val="2"/>
        <w:sz w:val="18"/>
        <w:szCs w:val="18"/>
        <w:lang w:val="en-US" w:eastAsia="zh-CN" w:bidi="ar-SA"/>
      </w:rPr>
      <w:t>建设方案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89903">
    <w:pPr>
      <w:widowControl w:val="0"/>
      <w:pBdr>
        <w:top w:val="none" w:color="auto" w:sz="0" w:space="1"/>
        <w:left w:val="none" w:color="auto" w:sz="0" w:space="4"/>
        <w:bottom w:val="none" w:color="auto" w:sz="0" w:space="1"/>
        <w:right w:val="none" w:color="auto" w:sz="0" w:space="4"/>
      </w:pBdr>
      <w:snapToGrid w:val="0"/>
      <w:jc w:val="center"/>
      <w:rPr>
        <w:rFonts w:hint="eastAsia"/>
        <w:lang w:val="en-US" w:eastAsia="zh-CN"/>
      </w:rPr>
    </w:pPr>
    <w:r>
      <w:rPr>
        <w:rFonts w:hint="eastAsia" w:ascii="仿宋_GB2312" w:hAnsi="仿宋_GB2312" w:eastAsia="仿宋_GB2312" w:cs="仿宋_GB2312"/>
        <w:kern w:val="2"/>
        <w:sz w:val="18"/>
        <w:szCs w:val="18"/>
        <w:lang w:val="en-US" w:eastAsia="zh-CN" w:bidi="ar-SA"/>
      </w:rPr>
      <w:t>广东省汕头市澄海区国家现代农业产业园</w:t>
    </w:r>
    <w:r>
      <w:rPr>
        <w:rFonts w:hint="eastAsia" w:cs="仿宋_GB2312"/>
        <w:kern w:val="2"/>
        <w:sz w:val="18"/>
        <w:szCs w:val="18"/>
        <w:lang w:val="en-US" w:eastAsia="zh-CN" w:bidi="ar-SA"/>
      </w:rPr>
      <w:t>建设方案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isplayHorizontalDrawingGridEvery w:val="1"/>
  <w:displayVerticalDrawingGridEvery w:val="1"/>
  <w:noPunctuationKerning w:val="1"/>
  <w:characterSpacingControl w:val="doNotCompress"/>
  <w:footnotePr>
    <w:footnote w:id="0"/>
    <w:footnote w:id="1"/>
  </w:footnotePr>
  <w:endnotePr>
    <w:endnote w:id="0"/>
    <w:endnote w:id="1"/>
  </w:endnotePr>
  <w:compat>
    <w:balanceSingleByteDoubleByteWidth/>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1ODNjY2YxN2ViMDZhYjhhMzE1NGViZDQ5MTAwMGIifQ=="/>
  </w:docVars>
  <w:rsids>
    <w:rsidRoot w:val="00172A27"/>
    <w:rsid w:val="000A2CD2"/>
    <w:rsid w:val="00200E58"/>
    <w:rsid w:val="002019E3"/>
    <w:rsid w:val="002207B6"/>
    <w:rsid w:val="002733AE"/>
    <w:rsid w:val="002B05E8"/>
    <w:rsid w:val="002C4F93"/>
    <w:rsid w:val="004A67A8"/>
    <w:rsid w:val="005F7C1F"/>
    <w:rsid w:val="00604F90"/>
    <w:rsid w:val="00667FB0"/>
    <w:rsid w:val="007A2F49"/>
    <w:rsid w:val="007F62B2"/>
    <w:rsid w:val="008948C2"/>
    <w:rsid w:val="00AD52AC"/>
    <w:rsid w:val="00B11771"/>
    <w:rsid w:val="00C03A22"/>
    <w:rsid w:val="00C910F9"/>
    <w:rsid w:val="00DF0DD3"/>
    <w:rsid w:val="00F04EF9"/>
    <w:rsid w:val="01527EDF"/>
    <w:rsid w:val="01FB26B3"/>
    <w:rsid w:val="02DC2156"/>
    <w:rsid w:val="03463A74"/>
    <w:rsid w:val="03E2611B"/>
    <w:rsid w:val="03FF60FC"/>
    <w:rsid w:val="041B2FE2"/>
    <w:rsid w:val="044E0E32"/>
    <w:rsid w:val="04643804"/>
    <w:rsid w:val="04663FC2"/>
    <w:rsid w:val="047A3D61"/>
    <w:rsid w:val="0530577D"/>
    <w:rsid w:val="060E4410"/>
    <w:rsid w:val="06562220"/>
    <w:rsid w:val="07146275"/>
    <w:rsid w:val="079306C4"/>
    <w:rsid w:val="07DD68F7"/>
    <w:rsid w:val="08FD7652"/>
    <w:rsid w:val="09020235"/>
    <w:rsid w:val="09BD478A"/>
    <w:rsid w:val="0A0B7D6B"/>
    <w:rsid w:val="0A9318C1"/>
    <w:rsid w:val="0CA5180B"/>
    <w:rsid w:val="0DF367FC"/>
    <w:rsid w:val="0DFE545E"/>
    <w:rsid w:val="0F0A6F4C"/>
    <w:rsid w:val="0F0B18C5"/>
    <w:rsid w:val="104C47F6"/>
    <w:rsid w:val="108D4A90"/>
    <w:rsid w:val="10D34B99"/>
    <w:rsid w:val="124E39BB"/>
    <w:rsid w:val="12602C00"/>
    <w:rsid w:val="12C37D9C"/>
    <w:rsid w:val="13195CE2"/>
    <w:rsid w:val="13694F62"/>
    <w:rsid w:val="13C01CF9"/>
    <w:rsid w:val="13D03611"/>
    <w:rsid w:val="14590AFE"/>
    <w:rsid w:val="14F60821"/>
    <w:rsid w:val="15CB144A"/>
    <w:rsid w:val="15D13671"/>
    <w:rsid w:val="162227DE"/>
    <w:rsid w:val="16391CBF"/>
    <w:rsid w:val="168E0602"/>
    <w:rsid w:val="169E558C"/>
    <w:rsid w:val="169F5E92"/>
    <w:rsid w:val="17196959"/>
    <w:rsid w:val="17EA592D"/>
    <w:rsid w:val="18D36F18"/>
    <w:rsid w:val="192D615C"/>
    <w:rsid w:val="194B486F"/>
    <w:rsid w:val="19502A8D"/>
    <w:rsid w:val="19775938"/>
    <w:rsid w:val="19BD7C2C"/>
    <w:rsid w:val="19F92AF9"/>
    <w:rsid w:val="1A2A1E07"/>
    <w:rsid w:val="1A5A3C35"/>
    <w:rsid w:val="1AA94BBC"/>
    <w:rsid w:val="1B6D29CF"/>
    <w:rsid w:val="1CDE66FD"/>
    <w:rsid w:val="1D6934A1"/>
    <w:rsid w:val="1E116AEB"/>
    <w:rsid w:val="1E320022"/>
    <w:rsid w:val="1E753277"/>
    <w:rsid w:val="1EC82789"/>
    <w:rsid w:val="20A50ACA"/>
    <w:rsid w:val="20B5537E"/>
    <w:rsid w:val="20EF30E6"/>
    <w:rsid w:val="210067B1"/>
    <w:rsid w:val="211125EC"/>
    <w:rsid w:val="212C3CE8"/>
    <w:rsid w:val="21D75036"/>
    <w:rsid w:val="22DA2397"/>
    <w:rsid w:val="23615928"/>
    <w:rsid w:val="236B742B"/>
    <w:rsid w:val="23810F60"/>
    <w:rsid w:val="23CA18C3"/>
    <w:rsid w:val="246833F2"/>
    <w:rsid w:val="249966C3"/>
    <w:rsid w:val="25265118"/>
    <w:rsid w:val="256A1099"/>
    <w:rsid w:val="26E8237F"/>
    <w:rsid w:val="26E97DC0"/>
    <w:rsid w:val="272917AC"/>
    <w:rsid w:val="27CB5609"/>
    <w:rsid w:val="285B184B"/>
    <w:rsid w:val="29B6075C"/>
    <w:rsid w:val="2A422D3B"/>
    <w:rsid w:val="2CD6228C"/>
    <w:rsid w:val="2DF963AA"/>
    <w:rsid w:val="2E9563BD"/>
    <w:rsid w:val="2F4D7C47"/>
    <w:rsid w:val="2FB43990"/>
    <w:rsid w:val="2FF503D5"/>
    <w:rsid w:val="30203B82"/>
    <w:rsid w:val="313E6E69"/>
    <w:rsid w:val="31447BEA"/>
    <w:rsid w:val="31D13B38"/>
    <w:rsid w:val="32127618"/>
    <w:rsid w:val="32957E72"/>
    <w:rsid w:val="33CB12A8"/>
    <w:rsid w:val="3587187D"/>
    <w:rsid w:val="35E279EA"/>
    <w:rsid w:val="36341AEC"/>
    <w:rsid w:val="366E35C1"/>
    <w:rsid w:val="38793733"/>
    <w:rsid w:val="3A9072E1"/>
    <w:rsid w:val="3AD7094A"/>
    <w:rsid w:val="3B2B6F5E"/>
    <w:rsid w:val="3C4F4671"/>
    <w:rsid w:val="3D144883"/>
    <w:rsid w:val="3DB05EBC"/>
    <w:rsid w:val="3EE80C80"/>
    <w:rsid w:val="3F721D3E"/>
    <w:rsid w:val="3FDA1D13"/>
    <w:rsid w:val="3FF737F0"/>
    <w:rsid w:val="40043456"/>
    <w:rsid w:val="40C0744A"/>
    <w:rsid w:val="418905DC"/>
    <w:rsid w:val="418C03D5"/>
    <w:rsid w:val="419C34D8"/>
    <w:rsid w:val="4234673B"/>
    <w:rsid w:val="42431F15"/>
    <w:rsid w:val="425E0501"/>
    <w:rsid w:val="432B495E"/>
    <w:rsid w:val="43BE022C"/>
    <w:rsid w:val="44615E3C"/>
    <w:rsid w:val="454D1BEF"/>
    <w:rsid w:val="46465EDB"/>
    <w:rsid w:val="46B75DE7"/>
    <w:rsid w:val="46C146A3"/>
    <w:rsid w:val="4749229E"/>
    <w:rsid w:val="479D27E5"/>
    <w:rsid w:val="485708FA"/>
    <w:rsid w:val="48880100"/>
    <w:rsid w:val="48E548A6"/>
    <w:rsid w:val="49AF2707"/>
    <w:rsid w:val="4A233794"/>
    <w:rsid w:val="4ACD37E6"/>
    <w:rsid w:val="4B194A04"/>
    <w:rsid w:val="4B575B70"/>
    <w:rsid w:val="4B730EEF"/>
    <w:rsid w:val="4B965D53"/>
    <w:rsid w:val="4C1C4798"/>
    <w:rsid w:val="4C646220"/>
    <w:rsid w:val="4CD6753B"/>
    <w:rsid w:val="4D3029C5"/>
    <w:rsid w:val="4D6F3F68"/>
    <w:rsid w:val="4DA71517"/>
    <w:rsid w:val="4DB01B25"/>
    <w:rsid w:val="4DB943AB"/>
    <w:rsid w:val="4DDB7202"/>
    <w:rsid w:val="4DDF2DFA"/>
    <w:rsid w:val="4E0D2822"/>
    <w:rsid w:val="4E125020"/>
    <w:rsid w:val="4F7726CB"/>
    <w:rsid w:val="504F0E8E"/>
    <w:rsid w:val="508B66C7"/>
    <w:rsid w:val="50AE127B"/>
    <w:rsid w:val="50DE395F"/>
    <w:rsid w:val="51470C8F"/>
    <w:rsid w:val="51BA6196"/>
    <w:rsid w:val="525F7333"/>
    <w:rsid w:val="526A31B7"/>
    <w:rsid w:val="541E0BA1"/>
    <w:rsid w:val="548E1307"/>
    <w:rsid w:val="55326F81"/>
    <w:rsid w:val="5557523D"/>
    <w:rsid w:val="5782669E"/>
    <w:rsid w:val="584E0C8F"/>
    <w:rsid w:val="58A20507"/>
    <w:rsid w:val="58E21A07"/>
    <w:rsid w:val="591A2206"/>
    <w:rsid w:val="59914D45"/>
    <w:rsid w:val="59A323DD"/>
    <w:rsid w:val="59B61F2F"/>
    <w:rsid w:val="5A063086"/>
    <w:rsid w:val="5A567A2D"/>
    <w:rsid w:val="5AB53427"/>
    <w:rsid w:val="5AD80494"/>
    <w:rsid w:val="5B016475"/>
    <w:rsid w:val="5C0F15DD"/>
    <w:rsid w:val="5C310172"/>
    <w:rsid w:val="5CBE0DC9"/>
    <w:rsid w:val="5D3E1B8B"/>
    <w:rsid w:val="5D436F76"/>
    <w:rsid w:val="5D614F9C"/>
    <w:rsid w:val="5DA214DB"/>
    <w:rsid w:val="5E4B6612"/>
    <w:rsid w:val="5E714D2D"/>
    <w:rsid w:val="6024759C"/>
    <w:rsid w:val="60396EBB"/>
    <w:rsid w:val="608236D2"/>
    <w:rsid w:val="60E45E32"/>
    <w:rsid w:val="61215251"/>
    <w:rsid w:val="61AE454B"/>
    <w:rsid w:val="61CB51A2"/>
    <w:rsid w:val="61DF0CF5"/>
    <w:rsid w:val="626A7D19"/>
    <w:rsid w:val="62E622C6"/>
    <w:rsid w:val="63B63C0B"/>
    <w:rsid w:val="63E13327"/>
    <w:rsid w:val="64243F39"/>
    <w:rsid w:val="64C23E7D"/>
    <w:rsid w:val="64D91049"/>
    <w:rsid w:val="64F679DD"/>
    <w:rsid w:val="659F7D1B"/>
    <w:rsid w:val="65C10722"/>
    <w:rsid w:val="6676622B"/>
    <w:rsid w:val="66EC7AD9"/>
    <w:rsid w:val="67032B5A"/>
    <w:rsid w:val="6755367F"/>
    <w:rsid w:val="6793577F"/>
    <w:rsid w:val="67F3351A"/>
    <w:rsid w:val="682E257A"/>
    <w:rsid w:val="684A5B5A"/>
    <w:rsid w:val="688800C4"/>
    <w:rsid w:val="69672F61"/>
    <w:rsid w:val="6A3F387A"/>
    <w:rsid w:val="6A4D41E9"/>
    <w:rsid w:val="6B1F2CF0"/>
    <w:rsid w:val="6CC926E7"/>
    <w:rsid w:val="6CF80C5C"/>
    <w:rsid w:val="6CF86DC5"/>
    <w:rsid w:val="6E3A103C"/>
    <w:rsid w:val="6EAF66E9"/>
    <w:rsid w:val="6F197DCE"/>
    <w:rsid w:val="6F5F2E6D"/>
    <w:rsid w:val="6FAA305D"/>
    <w:rsid w:val="70512AF5"/>
    <w:rsid w:val="70694748"/>
    <w:rsid w:val="70B977CB"/>
    <w:rsid w:val="70CF6332"/>
    <w:rsid w:val="724B1425"/>
    <w:rsid w:val="73B963E9"/>
    <w:rsid w:val="73EA2AA9"/>
    <w:rsid w:val="741A4A19"/>
    <w:rsid w:val="753D7061"/>
    <w:rsid w:val="75617B8B"/>
    <w:rsid w:val="775B2CF0"/>
    <w:rsid w:val="77F15940"/>
    <w:rsid w:val="780F7383"/>
    <w:rsid w:val="78246B3B"/>
    <w:rsid w:val="786E2FFB"/>
    <w:rsid w:val="788D104D"/>
    <w:rsid w:val="78A0711D"/>
    <w:rsid w:val="78A55F58"/>
    <w:rsid w:val="78AB4227"/>
    <w:rsid w:val="78E2514F"/>
    <w:rsid w:val="793B28CE"/>
    <w:rsid w:val="79934CC5"/>
    <w:rsid w:val="7A2B7623"/>
    <w:rsid w:val="7A5663F5"/>
    <w:rsid w:val="7BAE696C"/>
    <w:rsid w:val="7CF25294"/>
    <w:rsid w:val="7E257C4F"/>
    <w:rsid w:val="7ED53633"/>
    <w:rsid w:val="7FCB321F"/>
    <w:rsid w:val="7FEC3F45"/>
    <w:rsid w:val="BCF73928"/>
    <w:rsid w:val="EBC9D4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723" w:firstLineChars="200"/>
      <w:jc w:val="both"/>
    </w:pPr>
    <w:rPr>
      <w:rFonts w:ascii="仿宋_GB2312" w:hAnsi="仿宋_GB2312" w:eastAsia="仿宋_GB2312" w:cstheme="minorBidi"/>
      <w:kern w:val="2"/>
      <w:sz w:val="32"/>
      <w:szCs w:val="22"/>
      <w:lang w:val="en-US" w:eastAsia="zh-CN" w:bidi="ar-SA"/>
    </w:rPr>
  </w:style>
  <w:style w:type="paragraph" w:styleId="3">
    <w:name w:val="heading 1"/>
    <w:basedOn w:val="1"/>
    <w:next w:val="1"/>
    <w:link w:val="49"/>
    <w:qFormat/>
    <w:uiPriority w:val="9"/>
    <w:pPr>
      <w:keepNext w:val="0"/>
      <w:keepLines/>
      <w:pageBreakBefore w:val="0"/>
      <w:spacing w:before="100" w:beforeLines="100" w:after="100" w:afterLines="100" w:line="576" w:lineRule="auto"/>
      <w:ind w:firstLine="0" w:firstLineChars="0"/>
      <w:jc w:val="left"/>
      <w:outlineLvl w:val="0"/>
    </w:pPr>
    <w:rPr>
      <w:rFonts w:eastAsia="黑体"/>
      <w:b/>
      <w:kern w:val="44"/>
    </w:rPr>
  </w:style>
  <w:style w:type="paragraph" w:styleId="2">
    <w:name w:val="heading 2"/>
    <w:basedOn w:val="1"/>
    <w:next w:val="1"/>
    <w:link w:val="38"/>
    <w:unhideWhenUsed/>
    <w:qFormat/>
    <w:uiPriority w:val="9"/>
    <w:pPr>
      <w:keepNext w:val="0"/>
      <w:keepLines/>
      <w:spacing w:before="100" w:beforeLines="100" w:after="100" w:afterLines="100" w:line="413" w:lineRule="auto"/>
      <w:ind w:firstLine="0" w:firstLineChars="0"/>
      <w:outlineLvl w:val="1"/>
    </w:pPr>
    <w:rPr>
      <w:rFonts w:ascii="Arial" w:hAnsi="Arial" w:eastAsia="楷体_GB2312"/>
      <w:b/>
    </w:rPr>
  </w:style>
  <w:style w:type="paragraph" w:styleId="4">
    <w:name w:val="heading 3"/>
    <w:basedOn w:val="1"/>
    <w:next w:val="1"/>
    <w:unhideWhenUsed/>
    <w:qFormat/>
    <w:uiPriority w:val="9"/>
    <w:pPr>
      <w:keepNext w:val="0"/>
      <w:keepLines/>
      <w:spacing w:before="25" w:beforeLines="25" w:after="25" w:afterLines="25" w:line="560" w:lineRule="exact"/>
      <w:ind w:firstLine="640" w:firstLineChars="200"/>
      <w:outlineLvl w:val="2"/>
    </w:pPr>
    <w:rPr>
      <w:b/>
    </w:rPr>
  </w:style>
  <w:style w:type="paragraph" w:styleId="5">
    <w:name w:val="heading 4"/>
    <w:basedOn w:val="1"/>
    <w:next w:val="1"/>
    <w:unhideWhenUsed/>
    <w:qFormat/>
    <w:uiPriority w:val="9"/>
    <w:pPr>
      <w:keepNext/>
      <w:keepLines/>
      <w:spacing w:before="280" w:beforeLines="0" w:beforeAutospacing="0" w:after="290" w:afterLines="0" w:afterAutospacing="0" w:line="560" w:lineRule="exact"/>
      <w:outlineLvl w:val="3"/>
    </w:pPr>
    <w:rPr>
      <w:rFonts w:ascii="Arial" w:hAnsi="Arial"/>
      <w:sz w:val="28"/>
    </w:rPr>
  </w:style>
  <w:style w:type="paragraph" w:styleId="6">
    <w:name w:val="heading 5"/>
    <w:basedOn w:val="1"/>
    <w:next w:val="1"/>
    <w:unhideWhenUsed/>
    <w:qFormat/>
    <w:uiPriority w:val="9"/>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uiPriority w:val="9"/>
    <w:pPr>
      <w:keepNext/>
      <w:keepLines/>
      <w:spacing w:before="240" w:beforeLines="0" w:beforeAutospacing="0" w:after="64" w:afterLines="0" w:afterAutospacing="0" w:line="317" w:lineRule="auto"/>
      <w:outlineLvl w:val="5"/>
    </w:pPr>
    <w:rPr>
      <w:rFonts w:ascii="Arial" w:hAnsi="Arial" w:eastAsia="黑体"/>
      <w:b/>
      <w:sz w:val="24"/>
    </w:rPr>
  </w:style>
  <w:style w:type="paragraph" w:styleId="8">
    <w:name w:val="heading 7"/>
    <w:basedOn w:val="1"/>
    <w:next w:val="1"/>
    <w:unhideWhenUsed/>
    <w:qFormat/>
    <w:uiPriority w:val="9"/>
    <w:pPr>
      <w:keepNext/>
      <w:keepLines/>
      <w:spacing w:before="240" w:beforeLines="0" w:beforeAutospacing="0" w:after="64" w:afterLines="0" w:afterAutospacing="0" w:line="317" w:lineRule="auto"/>
      <w:outlineLvl w:val="6"/>
    </w:pPr>
    <w:rPr>
      <w:b/>
      <w:sz w:val="24"/>
    </w:rPr>
  </w:style>
  <w:style w:type="paragraph" w:styleId="9">
    <w:name w:val="heading 8"/>
    <w:basedOn w:val="1"/>
    <w:next w:val="1"/>
    <w:unhideWhenUsed/>
    <w:qFormat/>
    <w:uiPriority w:val="9"/>
    <w:pPr>
      <w:keepNext/>
      <w:keepLines/>
      <w:spacing w:beforeLines="0" w:beforeAutospacing="0" w:afterLines="0" w:afterAutospacing="0" w:line="240" w:lineRule="auto"/>
      <w:ind w:firstLine="0" w:firstLineChars="0"/>
      <w:jc w:val="center"/>
      <w:outlineLvl w:val="7"/>
    </w:pPr>
    <w:rPr>
      <w:rFonts w:ascii="Arial" w:hAnsi="Arial" w:eastAsia="黑体"/>
      <w:sz w:val="24"/>
    </w:rPr>
  </w:style>
  <w:style w:type="paragraph" w:styleId="10">
    <w:name w:val="heading 9"/>
    <w:basedOn w:val="1"/>
    <w:next w:val="1"/>
    <w:unhideWhenUsed/>
    <w:qFormat/>
    <w:uiPriority w:val="9"/>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qFormat/>
    <w:uiPriority w:val="0"/>
    <w:pPr>
      <w:ind w:firstLine="420"/>
    </w:pPr>
    <w:rPr>
      <w:rFonts w:ascii="Times New Roman" w:hAnsi="Times New Roman" w:eastAsia="宋体" w:cs="Times New Roman"/>
      <w:szCs w:val="20"/>
    </w:rPr>
  </w:style>
  <w:style w:type="paragraph" w:styleId="12">
    <w:name w:val="Document Map"/>
    <w:basedOn w:val="1"/>
    <w:link w:val="37"/>
    <w:semiHidden/>
    <w:unhideWhenUsed/>
    <w:qFormat/>
    <w:uiPriority w:val="99"/>
    <w:rPr>
      <w:rFonts w:ascii="宋体" w:eastAsia="宋体"/>
      <w:sz w:val="18"/>
      <w:szCs w:val="18"/>
    </w:rPr>
  </w:style>
  <w:style w:type="paragraph" w:styleId="13">
    <w:name w:val="annotation text"/>
    <w:basedOn w:val="1"/>
    <w:semiHidden/>
    <w:unhideWhenUsed/>
    <w:qFormat/>
    <w:uiPriority w:val="99"/>
    <w:pPr>
      <w:jc w:val="left"/>
    </w:pPr>
  </w:style>
  <w:style w:type="paragraph" w:styleId="14">
    <w:name w:val="Body Text"/>
    <w:basedOn w:val="1"/>
    <w:next w:val="15"/>
    <w:unhideWhenUsed/>
    <w:qFormat/>
    <w:uiPriority w:val="99"/>
    <w:pPr>
      <w:spacing w:after="120"/>
    </w:pPr>
    <w:rPr>
      <w:sz w:val="32"/>
    </w:rPr>
  </w:style>
  <w:style w:type="paragraph" w:customStyle="1" w:styleId="15">
    <w:name w:val="TOC 11"/>
    <w:next w:val="1"/>
    <w:qFormat/>
    <w:uiPriority w:val="0"/>
    <w:pPr>
      <w:wordWrap w:val="0"/>
      <w:jc w:val="both"/>
    </w:pPr>
    <w:rPr>
      <w:rFonts w:ascii="Times New Roman" w:hAnsi="Times New Roman" w:eastAsia="宋体" w:cs="Times New Roman"/>
      <w:sz w:val="21"/>
      <w:szCs w:val="22"/>
      <w:lang w:val="en-US" w:eastAsia="zh-CN" w:bidi="ar-SA"/>
    </w:rPr>
  </w:style>
  <w:style w:type="paragraph" w:styleId="16">
    <w:name w:val="toc 5"/>
    <w:basedOn w:val="1"/>
    <w:next w:val="1"/>
    <w:qFormat/>
    <w:uiPriority w:val="0"/>
    <w:pPr>
      <w:ind w:left="1680"/>
    </w:pPr>
  </w:style>
  <w:style w:type="paragraph" w:styleId="17">
    <w:name w:val="toc 3"/>
    <w:basedOn w:val="1"/>
    <w:next w:val="1"/>
    <w:semiHidden/>
    <w:unhideWhenUsed/>
    <w:qFormat/>
    <w:uiPriority w:val="39"/>
    <w:pPr>
      <w:ind w:left="840" w:leftChars="400"/>
    </w:pPr>
  </w:style>
  <w:style w:type="paragraph" w:styleId="18">
    <w:name w:val="Balloon Text"/>
    <w:basedOn w:val="1"/>
    <w:link w:val="36"/>
    <w:semiHidden/>
    <w:unhideWhenUsed/>
    <w:qFormat/>
    <w:uiPriority w:val="99"/>
    <w:rPr>
      <w:sz w:val="18"/>
      <w:szCs w:val="18"/>
    </w:rPr>
  </w:style>
  <w:style w:type="paragraph" w:styleId="19">
    <w:name w:val="footer"/>
    <w:basedOn w:val="1"/>
    <w:semiHidden/>
    <w:unhideWhenUsed/>
    <w:qFormat/>
    <w:uiPriority w:val="99"/>
    <w:pPr>
      <w:tabs>
        <w:tab w:val="center" w:pos="4153"/>
        <w:tab w:val="right" w:pos="8306"/>
      </w:tabs>
      <w:snapToGrid w:val="0"/>
      <w:jc w:val="left"/>
    </w:pPr>
    <w:rPr>
      <w:sz w:val="18"/>
    </w:rPr>
  </w:style>
  <w:style w:type="paragraph" w:styleId="20">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1">
    <w:name w:val="toc 1"/>
    <w:basedOn w:val="1"/>
    <w:next w:val="1"/>
    <w:semiHidden/>
    <w:unhideWhenUsed/>
    <w:qFormat/>
    <w:uiPriority w:val="39"/>
    <w:pPr>
      <w:ind w:firstLine="0" w:firstLineChars="0"/>
    </w:pPr>
    <w:rPr>
      <w:rFonts w:eastAsia="黑体"/>
    </w:rPr>
  </w:style>
  <w:style w:type="paragraph" w:styleId="22">
    <w:name w:val="toc 2"/>
    <w:basedOn w:val="1"/>
    <w:next w:val="1"/>
    <w:semiHidden/>
    <w:unhideWhenUsed/>
    <w:qFormat/>
    <w:uiPriority w:val="39"/>
    <w:pPr>
      <w:ind w:left="0" w:leftChars="0"/>
    </w:pPr>
    <w:rPr>
      <w:rFonts w:eastAsia="楷体_GB2312"/>
    </w:rPr>
  </w:style>
  <w:style w:type="paragraph" w:styleId="23">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25">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22"/>
    <w:rPr>
      <w:b/>
    </w:rPr>
  </w:style>
  <w:style w:type="character" w:styleId="28">
    <w:name w:val="Emphasis"/>
    <w:basedOn w:val="26"/>
    <w:qFormat/>
    <w:uiPriority w:val="20"/>
    <w:rPr>
      <w:i/>
    </w:rPr>
  </w:style>
  <w:style w:type="character" w:styleId="29">
    <w:name w:val="Hyperlink"/>
    <w:basedOn w:val="26"/>
    <w:semiHidden/>
    <w:unhideWhenUsed/>
    <w:qFormat/>
    <w:uiPriority w:val="99"/>
    <w:rPr>
      <w:color w:val="0000FF"/>
      <w:u w:val="single"/>
    </w:rPr>
  </w:style>
  <w:style w:type="paragraph" w:customStyle="1" w:styleId="30">
    <w:name w:val="Heading2"/>
    <w:basedOn w:val="1"/>
    <w:next w:val="1"/>
    <w:qFormat/>
    <w:uiPriority w:val="99"/>
    <w:pPr>
      <w:textAlignment w:val="baseline"/>
    </w:pPr>
    <w:rPr>
      <w:rFonts w:ascii="楷体" w:hAnsi="楷体" w:cs="楷体"/>
      <w:b/>
      <w:bCs/>
      <w:sz w:val="30"/>
      <w:szCs w:val="30"/>
    </w:rPr>
  </w:style>
  <w:style w:type="paragraph" w:customStyle="1" w:styleId="31">
    <w:name w:val="列出段落1"/>
    <w:basedOn w:val="1"/>
    <w:qFormat/>
    <w:uiPriority w:val="99"/>
    <w:pPr>
      <w:ind w:firstLine="420" w:firstLineChars="200"/>
    </w:pPr>
  </w:style>
  <w:style w:type="character" w:customStyle="1" w:styleId="32">
    <w:name w:val="15"/>
    <w:basedOn w:val="26"/>
    <w:qFormat/>
    <w:uiPriority w:val="99"/>
    <w:rPr>
      <w:rFonts w:ascii="仿宋_GB2312" w:eastAsia="仿宋_GB2312" w:cs="Times New Roman"/>
      <w:b/>
      <w:bCs/>
      <w:color w:val="000000"/>
      <w:sz w:val="28"/>
      <w:szCs w:val="28"/>
    </w:rPr>
  </w:style>
  <w:style w:type="character" w:customStyle="1" w:styleId="33">
    <w:name w:val="16"/>
    <w:basedOn w:val="26"/>
    <w:qFormat/>
    <w:uiPriority w:val="99"/>
    <w:rPr>
      <w:rFonts w:ascii="Times New Roman" w:hAnsi="Times New Roman" w:cs="Times New Roman"/>
      <w:b/>
      <w:bCs/>
      <w:color w:val="000000"/>
      <w:sz w:val="28"/>
      <w:szCs w:val="28"/>
    </w:rPr>
  </w:style>
  <w:style w:type="character" w:customStyle="1" w:styleId="34">
    <w:name w:val="19"/>
    <w:basedOn w:val="26"/>
    <w:qFormat/>
    <w:uiPriority w:val="99"/>
    <w:rPr>
      <w:rFonts w:ascii="仿宋_GB2312" w:eastAsia="仿宋_GB2312" w:cs="Times New Roman"/>
      <w:color w:val="000000"/>
      <w:sz w:val="24"/>
      <w:szCs w:val="24"/>
    </w:rPr>
  </w:style>
  <w:style w:type="character" w:customStyle="1" w:styleId="35">
    <w:name w:val="20"/>
    <w:basedOn w:val="26"/>
    <w:qFormat/>
    <w:uiPriority w:val="99"/>
    <w:rPr>
      <w:rFonts w:ascii="Times New Roman" w:hAnsi="Times New Roman" w:cs="Times New Roman"/>
      <w:color w:val="000000"/>
      <w:sz w:val="24"/>
      <w:szCs w:val="24"/>
    </w:rPr>
  </w:style>
  <w:style w:type="character" w:customStyle="1" w:styleId="36">
    <w:name w:val="批注框文本 Char"/>
    <w:basedOn w:val="26"/>
    <w:link w:val="18"/>
    <w:semiHidden/>
    <w:qFormat/>
    <w:uiPriority w:val="99"/>
    <w:rPr>
      <w:rFonts w:asciiTheme="minorHAnsi" w:hAnsiTheme="minorHAnsi" w:eastAsiaTheme="minorEastAsia" w:cstheme="minorBidi"/>
      <w:kern w:val="2"/>
      <w:sz w:val="18"/>
      <w:szCs w:val="18"/>
    </w:rPr>
  </w:style>
  <w:style w:type="character" w:customStyle="1" w:styleId="37">
    <w:name w:val="文档结构图 Char"/>
    <w:basedOn w:val="26"/>
    <w:link w:val="12"/>
    <w:semiHidden/>
    <w:qFormat/>
    <w:uiPriority w:val="99"/>
    <w:rPr>
      <w:rFonts w:ascii="宋体" w:hAnsiTheme="minorHAnsi" w:cstheme="minorBidi"/>
      <w:kern w:val="2"/>
      <w:sz w:val="18"/>
      <w:szCs w:val="18"/>
    </w:rPr>
  </w:style>
  <w:style w:type="character" w:customStyle="1" w:styleId="38">
    <w:name w:val="标题 2 Char"/>
    <w:basedOn w:val="26"/>
    <w:link w:val="2"/>
    <w:qFormat/>
    <w:uiPriority w:val="3"/>
    <w:rPr>
      <w:rFonts w:ascii="Arial" w:hAnsi="Arial" w:eastAsia="楷体_GB2312"/>
      <w:b/>
    </w:rPr>
  </w:style>
  <w:style w:type="character" w:customStyle="1" w:styleId="39">
    <w:name w:val="font21"/>
    <w:basedOn w:val="26"/>
    <w:qFormat/>
    <w:uiPriority w:val="0"/>
    <w:rPr>
      <w:rFonts w:hint="eastAsia" w:ascii="仿宋_GB2312" w:eastAsia="仿宋_GB2312" w:cs="仿宋_GB2312"/>
      <w:b/>
      <w:bCs/>
      <w:color w:val="000000"/>
      <w:sz w:val="20"/>
      <w:szCs w:val="20"/>
      <w:u w:val="none"/>
    </w:rPr>
  </w:style>
  <w:style w:type="character" w:customStyle="1" w:styleId="40">
    <w:name w:val="font81"/>
    <w:basedOn w:val="26"/>
    <w:qFormat/>
    <w:uiPriority w:val="0"/>
    <w:rPr>
      <w:rFonts w:hint="eastAsia" w:ascii="仿宋_GB2312" w:eastAsia="仿宋_GB2312" w:cs="仿宋_GB2312"/>
      <w:b/>
      <w:bCs/>
      <w:color w:val="000000"/>
      <w:sz w:val="20"/>
      <w:szCs w:val="20"/>
      <w:u w:val="none"/>
    </w:rPr>
  </w:style>
  <w:style w:type="paragraph" w:customStyle="1" w:styleId="41">
    <w:name w:val="WPSOffice手动目录 1"/>
    <w:qFormat/>
    <w:uiPriority w:val="0"/>
    <w:pPr>
      <w:ind w:leftChars="0"/>
    </w:pPr>
    <w:rPr>
      <w:rFonts w:ascii="Times New Roman" w:hAnsi="Times New Roman" w:eastAsia="宋体" w:cs="Times New Roman"/>
      <w:sz w:val="20"/>
      <w:szCs w:val="20"/>
    </w:rPr>
  </w:style>
  <w:style w:type="paragraph" w:customStyle="1" w:styleId="42">
    <w:name w:val="WPSOffice手动目录 2"/>
    <w:qFormat/>
    <w:uiPriority w:val="0"/>
    <w:pPr>
      <w:ind w:leftChars="200"/>
    </w:pPr>
    <w:rPr>
      <w:rFonts w:ascii="Times New Roman" w:hAnsi="Times New Roman" w:eastAsia="宋体" w:cs="Times New Roman"/>
      <w:sz w:val="20"/>
      <w:szCs w:val="20"/>
    </w:rPr>
  </w:style>
  <w:style w:type="paragraph" w:customStyle="1" w:styleId="43">
    <w:name w:val="WPSOffice手动目录 3"/>
    <w:qFormat/>
    <w:uiPriority w:val="0"/>
    <w:pPr>
      <w:ind w:leftChars="400"/>
    </w:pPr>
    <w:rPr>
      <w:rFonts w:ascii="Times New Roman" w:hAnsi="Times New Roman" w:eastAsia="宋体" w:cs="Times New Roman"/>
      <w:sz w:val="20"/>
      <w:szCs w:val="20"/>
    </w:rPr>
  </w:style>
  <w:style w:type="character" w:customStyle="1" w:styleId="44">
    <w:name w:val="font51"/>
    <w:basedOn w:val="26"/>
    <w:qFormat/>
    <w:uiPriority w:val="0"/>
    <w:rPr>
      <w:rFonts w:ascii="黑体" w:hAnsi="宋体" w:eastAsia="黑体" w:cs="黑体"/>
      <w:color w:val="000000"/>
      <w:sz w:val="24"/>
      <w:szCs w:val="24"/>
      <w:u w:val="none"/>
    </w:rPr>
  </w:style>
  <w:style w:type="character" w:customStyle="1" w:styleId="45">
    <w:name w:val="font61"/>
    <w:basedOn w:val="26"/>
    <w:qFormat/>
    <w:uiPriority w:val="0"/>
    <w:rPr>
      <w:rFonts w:ascii="仿宋_GB2312" w:eastAsia="仿宋_GB2312" w:cs="仿宋_GB2312"/>
      <w:color w:val="000000"/>
      <w:sz w:val="24"/>
      <w:szCs w:val="24"/>
      <w:u w:val="none"/>
    </w:rPr>
  </w:style>
  <w:style w:type="character" w:customStyle="1" w:styleId="46">
    <w:name w:val="font71"/>
    <w:basedOn w:val="26"/>
    <w:qFormat/>
    <w:uiPriority w:val="0"/>
    <w:rPr>
      <w:rFonts w:hint="default" w:ascii="Times New Roman" w:hAnsi="Times New Roman" w:cs="Times New Roman"/>
      <w:color w:val="000000"/>
      <w:sz w:val="24"/>
      <w:szCs w:val="24"/>
      <w:u w:val="none"/>
    </w:rPr>
  </w:style>
  <w:style w:type="character" w:customStyle="1" w:styleId="47">
    <w:name w:val="font41"/>
    <w:basedOn w:val="26"/>
    <w:qFormat/>
    <w:uiPriority w:val="0"/>
    <w:rPr>
      <w:rFonts w:hint="eastAsia" w:ascii="仿宋_GB2312" w:eastAsia="仿宋_GB2312" w:cs="仿宋_GB2312"/>
      <w:color w:val="000000"/>
      <w:sz w:val="24"/>
      <w:szCs w:val="24"/>
      <w:u w:val="none"/>
    </w:rPr>
  </w:style>
  <w:style w:type="character" w:customStyle="1" w:styleId="48">
    <w:name w:val="font11"/>
    <w:basedOn w:val="26"/>
    <w:qFormat/>
    <w:uiPriority w:val="0"/>
    <w:rPr>
      <w:rFonts w:hint="default" w:ascii="Times New Roman" w:hAnsi="Times New Roman" w:cs="Times New Roman"/>
      <w:color w:val="000000"/>
      <w:sz w:val="24"/>
      <w:szCs w:val="24"/>
      <w:u w:val="none"/>
    </w:rPr>
  </w:style>
  <w:style w:type="character" w:customStyle="1" w:styleId="49">
    <w:name w:val="标题 1 Char"/>
    <w:link w:val="3"/>
    <w:qFormat/>
    <w:uiPriority w:val="9"/>
    <w:rPr>
      <w:rFonts w:eastAsia="黑体"/>
      <w:b/>
      <w:kern w:val="44"/>
    </w:rPr>
  </w:style>
  <w:style w:type="character" w:customStyle="1" w:styleId="50">
    <w:name w:val="font31"/>
    <w:basedOn w:val="26"/>
    <w:qFormat/>
    <w:uiPriority w:val="0"/>
    <w:rPr>
      <w:rFonts w:hint="default" w:ascii="Times New Roman" w:hAnsi="Times New Roman" w:cs="Times New Roman"/>
      <w:color w:val="000000"/>
      <w:sz w:val="24"/>
      <w:szCs w:val="24"/>
      <w:u w:val="none"/>
    </w:rPr>
  </w:style>
  <w:style w:type="character" w:customStyle="1" w:styleId="51">
    <w:name w:val="font131"/>
    <w:basedOn w:val="26"/>
    <w:qFormat/>
    <w:uiPriority w:val="0"/>
    <w:rPr>
      <w:rFonts w:ascii="楷体_GB2312" w:eastAsia="楷体_GB2312" w:cs="楷体_GB2312"/>
      <w:b/>
      <w:bCs/>
      <w:color w:val="000000"/>
      <w:sz w:val="24"/>
      <w:szCs w:val="24"/>
      <w:u w:val="none"/>
    </w:rPr>
  </w:style>
  <w:style w:type="character" w:customStyle="1" w:styleId="52">
    <w:name w:val="font101"/>
    <w:basedOn w:val="26"/>
    <w:qFormat/>
    <w:uiPriority w:val="0"/>
    <w:rPr>
      <w:rFonts w:hint="eastAsia" w:ascii="仿宋_GB2312" w:eastAsia="仿宋_GB2312" w:cs="仿宋_GB2312"/>
      <w:b/>
      <w:bCs/>
      <w:color w:val="000000"/>
      <w:sz w:val="24"/>
      <w:szCs w:val="24"/>
      <w:u w:val="none"/>
    </w:rPr>
  </w:style>
  <w:style w:type="character" w:customStyle="1" w:styleId="53">
    <w:name w:val="font121"/>
    <w:basedOn w:val="26"/>
    <w:qFormat/>
    <w:uiPriority w:val="0"/>
    <w:rPr>
      <w:rFonts w:hint="eastAsia" w:ascii="仿宋_GB2312" w:eastAsia="仿宋_GB2312" w:cs="仿宋_GB2312"/>
      <w:b/>
      <w:bCs/>
      <w:color w:val="000000"/>
      <w:sz w:val="24"/>
      <w:szCs w:val="24"/>
      <w:u w:val="none"/>
    </w:rPr>
  </w:style>
  <w:style w:type="character" w:customStyle="1" w:styleId="54">
    <w:name w:val="font112"/>
    <w:basedOn w:val="26"/>
    <w:qFormat/>
    <w:uiPriority w:val="0"/>
    <w:rPr>
      <w:rFonts w:hint="default" w:ascii="Times New Roman" w:hAnsi="Times New Roman" w:cs="Times New Roman"/>
      <w:color w:val="000000"/>
      <w:sz w:val="24"/>
      <w:szCs w:val="24"/>
      <w:u w:val="none"/>
    </w:rPr>
  </w:style>
  <w:style w:type="character" w:customStyle="1" w:styleId="55">
    <w:name w:val="font141"/>
    <w:basedOn w:val="26"/>
    <w:qFormat/>
    <w:uiPriority w:val="0"/>
    <w:rPr>
      <w:rFonts w:hint="eastAsia" w:ascii="宋体" w:hAnsi="宋体" w:eastAsia="宋体" w:cs="宋体"/>
      <w:color w:val="000000"/>
      <w:sz w:val="24"/>
      <w:szCs w:val="24"/>
      <w:u w:val="none"/>
    </w:rPr>
  </w:style>
  <w:style w:type="character" w:customStyle="1" w:styleId="56">
    <w:name w:val="font91"/>
    <w:basedOn w:val="26"/>
    <w:qFormat/>
    <w:uiPriority w:val="0"/>
    <w:rPr>
      <w:rFonts w:hint="eastAsia" w:ascii="仿宋_GB2312" w:eastAsia="仿宋_GB2312" w:cs="仿宋_GB2312"/>
      <w:b/>
      <w:bCs/>
      <w:color w:val="000000"/>
      <w:sz w:val="24"/>
      <w:szCs w:val="24"/>
      <w:u w:val="none"/>
    </w:rPr>
  </w:style>
  <w:style w:type="character" w:customStyle="1" w:styleId="57">
    <w:name w:val="font111"/>
    <w:basedOn w:val="26"/>
    <w:qFormat/>
    <w:uiPriority w:val="0"/>
    <w:rPr>
      <w:rFonts w:hint="default" w:ascii="Times New Roman" w:hAnsi="Times New Roman" w:cs="Times New Roman"/>
      <w:b/>
      <w:bCs/>
      <w:color w:val="000000"/>
      <w:sz w:val="24"/>
      <w:szCs w:val="24"/>
      <w:u w:val="none"/>
    </w:rPr>
  </w:style>
  <w:style w:type="character" w:customStyle="1" w:styleId="58">
    <w:name w:val="font151"/>
    <w:basedOn w:val="26"/>
    <w:qFormat/>
    <w:uiPriority w:val="0"/>
    <w:rPr>
      <w:rFonts w:hint="eastAsia" w:ascii="宋体" w:hAnsi="宋体" w:eastAsia="宋体" w:cs="宋体"/>
      <w:color w:val="000000"/>
      <w:sz w:val="24"/>
      <w:szCs w:val="24"/>
      <w:u w:val="none"/>
    </w:rPr>
  </w:style>
  <w:style w:type="character" w:customStyle="1" w:styleId="59">
    <w:name w:val="font01"/>
    <w:basedOn w:val="26"/>
    <w:qFormat/>
    <w:uiPriority w:val="0"/>
    <w:rPr>
      <w:rFonts w:hint="eastAsia" w:ascii="宋体" w:hAnsi="宋体" w:eastAsia="宋体" w:cs="宋体"/>
      <w:color w:val="000000"/>
      <w:sz w:val="22"/>
      <w:szCs w:val="22"/>
      <w:u w:val="none"/>
    </w:rPr>
  </w:style>
  <w:style w:type="character" w:customStyle="1" w:styleId="60">
    <w:name w:val="font12"/>
    <w:basedOn w:val="26"/>
    <w:qFormat/>
    <w:uiPriority w:val="0"/>
    <w:rPr>
      <w:rFonts w:hint="default" w:ascii="Times New Roman" w:hAnsi="Times New Roman" w:cs="Times New Roman"/>
      <w:b/>
      <w:bCs/>
      <w:color w:val="000000"/>
      <w:sz w:val="24"/>
      <w:szCs w:val="24"/>
      <w:u w:val="none"/>
    </w:rPr>
  </w:style>
  <w:style w:type="character" w:customStyle="1" w:styleId="61">
    <w:name w:val="font122"/>
    <w:basedOn w:val="26"/>
    <w:qFormat/>
    <w:uiPriority w:val="0"/>
    <w:rPr>
      <w:rFonts w:ascii="楷体_GB2312" w:eastAsia="楷体_GB2312" w:cs="楷体_GB2312"/>
      <w:b/>
      <w:bCs/>
      <w:color w:val="000000"/>
      <w:sz w:val="24"/>
      <w:szCs w:val="24"/>
      <w:u w:val="none"/>
    </w:rPr>
  </w:style>
  <w:style w:type="character" w:customStyle="1" w:styleId="62">
    <w:name w:val="font161"/>
    <w:basedOn w:val="26"/>
    <w:qFormat/>
    <w:uiPriority w:val="0"/>
    <w:rPr>
      <w:rFonts w:hint="eastAsia" w:ascii="仿宋_GB2312" w:eastAsia="仿宋_GB2312" w:cs="仿宋_GB2312"/>
      <w:b/>
      <w:bCs/>
      <w:color w:val="000000"/>
      <w:sz w:val="24"/>
      <w:szCs w:val="24"/>
      <w:u w:val="none"/>
    </w:rPr>
  </w:style>
  <w:style w:type="character" w:customStyle="1" w:styleId="63">
    <w:name w:val="font171"/>
    <w:basedOn w:val="26"/>
    <w:qFormat/>
    <w:uiPriority w:val="0"/>
    <w:rPr>
      <w:rFonts w:hint="eastAsia" w:ascii="仿宋_GB2312" w:eastAsia="仿宋_GB2312" w:cs="仿宋_GB2312"/>
      <w:color w:val="C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145</Pages>
  <Words>16831</Words>
  <Characters>18349</Characters>
  <Lines>561</Lines>
  <Paragraphs>158</Paragraphs>
  <TotalTime>258</TotalTime>
  <ScaleCrop>false</ScaleCrop>
  <LinksUpToDate>false</LinksUpToDate>
  <CharactersWithSpaces>18495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2022-03-05T23:25:00Z</dcterms:created>
  <dc:creator>Lenovo</dc:creator>
  <cp:lastModifiedBy>。。。。。</cp:lastModifiedBy>
  <cp:lastPrinted>2023-12-21T18:53:00Z</cp:lastPrinted>
  <dcterms:modified xsi:type="dcterms:W3CDTF">2025-08-04T09:07:07Z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152D482C0CBD4EC0B87574DA9FADC533_13</vt:lpwstr>
  </property>
  <property fmtid="{D5CDD505-2E9C-101B-9397-08002B2CF9AE}" pid="4" name="KSOTemplateDocerSaveRecord">
    <vt:lpwstr>eyJoZGlkIjoiZTU1ODNjY2YxN2ViMDZhYjhhMzE1NGViZDQ5MTAwMGIiLCJ1c2VySWQiOiI0ODc2MjE1NjIifQ==</vt:lpwstr>
  </property>
</Properties>
</file>