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19" w:rsidRDefault="00584919" w:rsidP="00584919">
      <w:pPr>
        <w:adjustRightInd w:val="0"/>
        <w:snapToGrid w:val="0"/>
        <w:spacing w:line="590" w:lineRule="exact"/>
        <w:rPr>
          <w:rFonts w:ascii="黑体" w:eastAsia="黑体" w:hAnsi="黑体" w:cs="黑体"/>
          <w:snapToGrid w:val="0"/>
          <w:kern w:val="0"/>
          <w:sz w:val="32"/>
          <w:szCs w:val="32"/>
        </w:rPr>
      </w:pPr>
      <w:r>
        <w:rPr>
          <w:rFonts w:ascii="黑体" w:eastAsia="黑体" w:hAnsi="黑体" w:cs="黑体" w:hint="eastAsia"/>
          <w:snapToGrid w:val="0"/>
          <w:kern w:val="0"/>
          <w:sz w:val="32"/>
          <w:szCs w:val="32"/>
        </w:rPr>
        <w:t>附件</w:t>
      </w:r>
      <w:r w:rsidR="00E31824">
        <w:rPr>
          <w:rFonts w:ascii="黑体" w:eastAsia="黑体" w:hAnsi="黑体" w:cs="黑体" w:hint="eastAsia"/>
          <w:snapToGrid w:val="0"/>
          <w:kern w:val="0"/>
          <w:sz w:val="32"/>
          <w:szCs w:val="32"/>
        </w:rPr>
        <w:t>2</w:t>
      </w:r>
      <w:bookmarkStart w:id="0" w:name="_GoBack"/>
      <w:bookmarkEnd w:id="0"/>
    </w:p>
    <w:p w:rsidR="00584919" w:rsidRDefault="00584919" w:rsidP="00584919">
      <w:pPr>
        <w:adjustRightInd w:val="0"/>
        <w:snapToGrid w:val="0"/>
        <w:spacing w:line="590" w:lineRule="exact"/>
        <w:rPr>
          <w:rFonts w:ascii="黑体" w:eastAsia="黑体" w:hAnsi="黑体" w:cs="黑体"/>
          <w:snapToGrid w:val="0"/>
          <w:kern w:val="0"/>
          <w:sz w:val="32"/>
          <w:szCs w:val="32"/>
        </w:rPr>
      </w:pPr>
    </w:p>
    <w:p w:rsidR="00584919" w:rsidRDefault="00584919" w:rsidP="00584919">
      <w:pPr>
        <w:adjustRightInd w:val="0"/>
        <w:snapToGrid w:val="0"/>
        <w:spacing w:line="59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海洋渔业资源养护补贴行政处罚扣减表</w:t>
      </w:r>
    </w:p>
    <w:p w:rsidR="00584919" w:rsidRDefault="00584919" w:rsidP="00584919">
      <w:pPr>
        <w:adjustRightInd w:val="0"/>
        <w:snapToGrid w:val="0"/>
        <w:spacing w:line="590" w:lineRule="exact"/>
        <w:jc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（不给予全部负责任捕捞补贴的情形）</w:t>
      </w:r>
    </w:p>
    <w:p w:rsidR="00584919" w:rsidRDefault="00584919" w:rsidP="00584919">
      <w:pPr>
        <w:adjustRightInd w:val="0"/>
        <w:snapToGrid w:val="0"/>
        <w:spacing w:line="590" w:lineRule="exact"/>
        <w:rPr>
          <w:rFonts w:ascii="宋体" w:eastAsia="宋体" w:hAnsi="宋体" w:cs="宋体"/>
          <w:snapToGrid w:val="0"/>
          <w:kern w:val="0"/>
          <w:sz w:val="24"/>
        </w:rPr>
      </w:pPr>
    </w:p>
    <w:tbl>
      <w:tblPr>
        <w:tblStyle w:val="a5"/>
        <w:tblW w:w="13254" w:type="dxa"/>
        <w:jc w:val="center"/>
        <w:tblInd w:w="2" w:type="dxa"/>
        <w:tblLayout w:type="fixed"/>
        <w:tblLook w:val="04A0" w:firstRow="1" w:lastRow="0" w:firstColumn="1" w:lastColumn="0" w:noHBand="0" w:noVBand="1"/>
      </w:tblPr>
      <w:tblGrid>
        <w:gridCol w:w="761"/>
        <w:gridCol w:w="2985"/>
        <w:gridCol w:w="9508"/>
      </w:tblGrid>
      <w:tr w:rsidR="00584919" w:rsidTr="00131438">
        <w:trPr>
          <w:trHeight w:val="624"/>
          <w:tblHeader/>
          <w:jc w:val="center"/>
        </w:trPr>
        <w:tc>
          <w:tcPr>
            <w:tcW w:w="761" w:type="dxa"/>
            <w:vAlign w:val="center"/>
          </w:tcPr>
          <w:p w:rsidR="00584919" w:rsidRDefault="00584919" w:rsidP="00131438">
            <w:pPr>
              <w:adjustRightInd w:val="0"/>
              <w:snapToGrid w:val="0"/>
              <w:jc w:val="center"/>
              <w:rPr>
                <w:rFonts w:ascii="黑体" w:eastAsia="黑体" w:hAnsi="黑体" w:cs="黑体"/>
                <w:szCs w:val="20"/>
              </w:rPr>
            </w:pPr>
            <w:r>
              <w:rPr>
                <w:rFonts w:ascii="黑体" w:eastAsia="黑体" w:hAnsi="黑体" w:cs="黑体" w:hint="eastAsia"/>
                <w:szCs w:val="20"/>
              </w:rPr>
              <w:t>序号</w:t>
            </w:r>
          </w:p>
        </w:tc>
        <w:tc>
          <w:tcPr>
            <w:tcW w:w="2985" w:type="dxa"/>
            <w:vAlign w:val="center"/>
          </w:tcPr>
          <w:p w:rsidR="00584919" w:rsidRDefault="00584919" w:rsidP="00131438">
            <w:pPr>
              <w:adjustRightInd w:val="0"/>
              <w:snapToGrid w:val="0"/>
              <w:jc w:val="center"/>
              <w:rPr>
                <w:rFonts w:ascii="黑体" w:eastAsia="黑体" w:hAnsi="黑体" w:cs="黑体"/>
                <w:szCs w:val="20"/>
              </w:rPr>
            </w:pPr>
            <w:r>
              <w:rPr>
                <w:rFonts w:ascii="黑体" w:eastAsia="黑体" w:hAnsi="黑体" w:cs="黑体" w:hint="eastAsia"/>
                <w:szCs w:val="20"/>
              </w:rPr>
              <w:t>违法行为</w:t>
            </w:r>
          </w:p>
        </w:tc>
        <w:tc>
          <w:tcPr>
            <w:tcW w:w="9508" w:type="dxa"/>
            <w:vAlign w:val="center"/>
          </w:tcPr>
          <w:p w:rsidR="00584919" w:rsidRDefault="00584919" w:rsidP="00131438">
            <w:pPr>
              <w:adjustRightInd w:val="0"/>
              <w:snapToGrid w:val="0"/>
              <w:jc w:val="center"/>
              <w:rPr>
                <w:rFonts w:ascii="黑体" w:eastAsia="黑体" w:hAnsi="黑体" w:cs="黑体"/>
                <w:szCs w:val="20"/>
              </w:rPr>
            </w:pPr>
            <w:r>
              <w:rPr>
                <w:rFonts w:ascii="黑体" w:eastAsia="黑体" w:hAnsi="黑体" w:cs="黑体" w:hint="eastAsia"/>
                <w:szCs w:val="20"/>
              </w:rPr>
              <w:t>违反条款</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proofErr w:type="gramStart"/>
            <w:r>
              <w:rPr>
                <w:rFonts w:ascii="仿宋_GB2312" w:eastAsia="仿宋_GB2312" w:hAnsi="仿宋_GB2312" w:cs="仿宋_GB2312" w:hint="eastAsia"/>
                <w:szCs w:val="20"/>
              </w:rPr>
              <w:t>电毒炸鱼</w:t>
            </w:r>
            <w:proofErr w:type="gramEnd"/>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《中华人民共和国渔业法》第三十条　禁止使用炸鱼、毒鱼、电鱼等破坏渔业资源的方法进行捕捞。</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2</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使用禁用渔具</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《中华人民共和国渔业法》第三十条　禁止制造、销售、使用禁用的渔具。</w:t>
            </w:r>
          </w:p>
        </w:tc>
      </w:tr>
      <w:tr w:rsidR="00584919" w:rsidTr="00131438">
        <w:trPr>
          <w:trHeight w:val="9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3</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跨海区作业</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《渔业捕捞许可管理规定》第二十五条第二款　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4</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未按照要求落实避风措施</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《广东省渔业船舶安全生产管理办法》第二十一条  渔业船舶所有者、经营者以及船长应当关注天气动态，并服从当地人民政府指挥，按照要求落实渔业船舶避风、避险措施。</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5</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非法载客</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《广东省渔港和渔业船舶管理条例》第三十条  严禁渔业船舶非法载客。</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6</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非法交易渔获物</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《中华人民共和国管辖海域外国人、外国船舶渔业活动管理暂行规定》第九条  在中华人民共和国管辖海域内的外国人、外国船舶，未经中华人民共和国渔政渔港监督管理局批准，不得在船舶间转载渔获物及其制品或补给物品。</w:t>
            </w:r>
          </w:p>
        </w:tc>
      </w:tr>
      <w:tr w:rsidR="00584919" w:rsidTr="00131438">
        <w:trPr>
          <w:trHeight w:val="79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lastRenderedPageBreak/>
              <w:t>7</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擅自关闭、破坏、屏蔽、拆卸安全通</w:t>
            </w:r>
            <w:proofErr w:type="gramStart"/>
            <w:r>
              <w:rPr>
                <w:rFonts w:ascii="仿宋_GB2312" w:eastAsia="仿宋_GB2312" w:hAnsi="仿宋_GB2312" w:cs="仿宋_GB2312" w:hint="eastAsia"/>
                <w:szCs w:val="20"/>
              </w:rPr>
              <w:t>导设备</w:t>
            </w:r>
            <w:proofErr w:type="gramEnd"/>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《中华人民共和国安全生产法》第三十六条第三款  生产经营单位不得关闭、破坏直接关系生产安全的监控、报警、防护、救生设备、设施，或者篡改、隐瞒、销毁其相关数据、信息。</w:t>
            </w:r>
          </w:p>
        </w:tc>
      </w:tr>
      <w:tr w:rsidR="00584919" w:rsidTr="00131438">
        <w:trPr>
          <w:trHeight w:val="1068"/>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8</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改变作业类型</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《中华人民共和国渔业法》第二十五条　从事捕捞作业的单位和个人，必须按照捕捞许可证关于作业类型、场所、时限、渔具数量和捕捞限额的规定进行作业，并遵守国家有关保护渔业资源的规定，大中型渔船应当填写渔捞日志。</w:t>
            </w:r>
          </w:p>
        </w:tc>
      </w:tr>
      <w:tr w:rsidR="00584919" w:rsidTr="00131438">
        <w:trPr>
          <w:trHeight w:val="1092"/>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9</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违反作业场所规定</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《中华人民共和国渔业法》第二十五条　从事捕捞作业的单位和个人，必须按照捕捞许可证关于作业类型、场所、时限、渔具数量和捕捞限额的规定进行作业，并遵守国家有关保护渔业资源的规定，大中型渔船应当填写渔捞日志。</w:t>
            </w:r>
          </w:p>
        </w:tc>
      </w:tr>
      <w:tr w:rsidR="00584919" w:rsidTr="00131438">
        <w:trPr>
          <w:trHeight w:val="104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10</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未配备适任船员</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《广东省渔业船舶安全生产管理办法》第七条第二款  渔业船舶所有者、经营者应当建立渔业船舶安全生产岗位责任制，按照规定配备适任渔业船员，配置和使用安全生产设备，安装电子身份识别标签，定期保养渔业船舶，确保渔业船舶安全适航。</w:t>
            </w:r>
          </w:p>
        </w:tc>
      </w:tr>
      <w:tr w:rsidR="00584919" w:rsidTr="00131438">
        <w:trPr>
          <w:trHeight w:val="1327"/>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11</w:t>
            </w:r>
          </w:p>
        </w:tc>
        <w:tc>
          <w:tcPr>
            <w:tcW w:w="2985"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非法捕杀重点保护的水生野生动物等（依照刑法有关规定追究刑事责任的）</w:t>
            </w:r>
          </w:p>
        </w:tc>
        <w:tc>
          <w:tcPr>
            <w:tcW w:w="9508" w:type="dxa"/>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《中华人民共和国水生野生动物保护实施条例》第二十六条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10倍以下的罚款，没有捕获物的处以1万元以下的罚款。</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12</w:t>
            </w:r>
          </w:p>
        </w:tc>
        <w:tc>
          <w:tcPr>
            <w:tcW w:w="12493" w:type="dxa"/>
            <w:gridSpan w:val="2"/>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暴力抗拒渔业资源执法检查被立案查处的。</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13</w:t>
            </w:r>
          </w:p>
        </w:tc>
        <w:tc>
          <w:tcPr>
            <w:tcW w:w="12493" w:type="dxa"/>
            <w:gridSpan w:val="2"/>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当事人逾期不履行涉及捕捞的行政处罚决定的。</w:t>
            </w:r>
          </w:p>
        </w:tc>
      </w:tr>
      <w:tr w:rsidR="00584919" w:rsidTr="00131438">
        <w:trPr>
          <w:trHeight w:val="624"/>
          <w:jc w:val="center"/>
        </w:trPr>
        <w:tc>
          <w:tcPr>
            <w:tcW w:w="761" w:type="dxa"/>
            <w:vAlign w:val="center"/>
          </w:tcPr>
          <w:p w:rsidR="00584919" w:rsidRDefault="00584919" w:rsidP="00131438">
            <w:pPr>
              <w:adjustRightInd w:val="0"/>
              <w:snapToGrid w:val="0"/>
              <w:jc w:val="center"/>
              <w:rPr>
                <w:rFonts w:ascii="仿宋_GB2312" w:eastAsia="仿宋_GB2312" w:hAnsi="仿宋_GB2312" w:cs="仿宋_GB2312"/>
                <w:szCs w:val="20"/>
              </w:rPr>
            </w:pPr>
            <w:r>
              <w:rPr>
                <w:rFonts w:ascii="仿宋_GB2312" w:eastAsia="仿宋_GB2312" w:hAnsi="仿宋_GB2312" w:cs="仿宋_GB2312" w:hint="eastAsia"/>
                <w:szCs w:val="20"/>
              </w:rPr>
              <w:t>14</w:t>
            </w:r>
          </w:p>
        </w:tc>
        <w:tc>
          <w:tcPr>
            <w:tcW w:w="12493" w:type="dxa"/>
            <w:gridSpan w:val="2"/>
            <w:vAlign w:val="center"/>
          </w:tcPr>
          <w:p w:rsidR="00584919" w:rsidRDefault="00584919" w:rsidP="00131438">
            <w:pPr>
              <w:adjustRightInd w:val="0"/>
              <w:snapToGrid w:val="0"/>
              <w:rPr>
                <w:rFonts w:ascii="仿宋_GB2312" w:eastAsia="仿宋_GB2312" w:hAnsi="仿宋_GB2312" w:cs="仿宋_GB2312"/>
                <w:szCs w:val="20"/>
              </w:rPr>
            </w:pPr>
            <w:r>
              <w:rPr>
                <w:rFonts w:ascii="仿宋_GB2312" w:eastAsia="仿宋_GB2312" w:hAnsi="仿宋_GB2312" w:cs="仿宋_GB2312" w:hint="eastAsia"/>
                <w:szCs w:val="20"/>
              </w:rPr>
              <w:t>负责任捕捞具体指标累计违法违规5次以上的。</w:t>
            </w:r>
          </w:p>
        </w:tc>
      </w:tr>
    </w:tbl>
    <w:p w:rsidR="000C01B9" w:rsidRDefault="00584919">
      <w:r>
        <w:rPr>
          <w:rFonts w:ascii="仿宋_GB2312" w:eastAsia="仿宋_GB2312" w:hAnsi="仿宋_GB2312" w:cs="仿宋_GB2312" w:hint="eastAsia"/>
          <w:sz w:val="24"/>
        </w:rPr>
        <w:t>备注：相关法规有调整的，适用最新法规。</w:t>
      </w:r>
    </w:p>
    <w:sectPr w:rsidR="000C01B9" w:rsidSect="005849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97" w:rsidRDefault="005D2297" w:rsidP="00584919">
      <w:r>
        <w:separator/>
      </w:r>
    </w:p>
  </w:endnote>
  <w:endnote w:type="continuationSeparator" w:id="0">
    <w:p w:rsidR="005D2297" w:rsidRDefault="005D2297" w:rsidP="0058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97" w:rsidRDefault="005D2297" w:rsidP="00584919">
      <w:r>
        <w:separator/>
      </w:r>
    </w:p>
  </w:footnote>
  <w:footnote w:type="continuationSeparator" w:id="0">
    <w:p w:rsidR="005D2297" w:rsidRDefault="005D2297" w:rsidP="0058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2B"/>
    <w:rsid w:val="00584919"/>
    <w:rsid w:val="005B2412"/>
    <w:rsid w:val="005D2297"/>
    <w:rsid w:val="0070528C"/>
    <w:rsid w:val="008C0485"/>
    <w:rsid w:val="00E31824"/>
    <w:rsid w:val="00FA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84919"/>
    <w:pPr>
      <w:widowControl w:val="0"/>
      <w:jc w:val="both"/>
    </w:pPr>
    <w:rPr>
      <w:szCs w:val="24"/>
    </w:rPr>
  </w:style>
  <w:style w:type="paragraph" w:styleId="3">
    <w:name w:val="heading 3"/>
    <w:basedOn w:val="a"/>
    <w:next w:val="a"/>
    <w:link w:val="3Char"/>
    <w:uiPriority w:val="9"/>
    <w:semiHidden/>
    <w:unhideWhenUsed/>
    <w:qFormat/>
    <w:rsid w:val="005849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919"/>
    <w:rPr>
      <w:sz w:val="18"/>
      <w:szCs w:val="18"/>
    </w:rPr>
  </w:style>
  <w:style w:type="paragraph" w:styleId="a4">
    <w:name w:val="footer"/>
    <w:basedOn w:val="a"/>
    <w:link w:val="Char0"/>
    <w:uiPriority w:val="99"/>
    <w:unhideWhenUsed/>
    <w:rsid w:val="005849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4919"/>
    <w:rPr>
      <w:sz w:val="18"/>
      <w:szCs w:val="18"/>
    </w:rPr>
  </w:style>
  <w:style w:type="table" w:styleId="a5">
    <w:name w:val="Table Grid"/>
    <w:basedOn w:val="a1"/>
    <w:rsid w:val="0058491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584919"/>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84919"/>
    <w:pPr>
      <w:widowControl w:val="0"/>
      <w:jc w:val="both"/>
    </w:pPr>
    <w:rPr>
      <w:szCs w:val="24"/>
    </w:rPr>
  </w:style>
  <w:style w:type="paragraph" w:styleId="3">
    <w:name w:val="heading 3"/>
    <w:basedOn w:val="a"/>
    <w:next w:val="a"/>
    <w:link w:val="3Char"/>
    <w:uiPriority w:val="9"/>
    <w:semiHidden/>
    <w:unhideWhenUsed/>
    <w:qFormat/>
    <w:rsid w:val="0058491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4919"/>
    <w:rPr>
      <w:sz w:val="18"/>
      <w:szCs w:val="18"/>
    </w:rPr>
  </w:style>
  <w:style w:type="paragraph" w:styleId="a4">
    <w:name w:val="footer"/>
    <w:basedOn w:val="a"/>
    <w:link w:val="Char0"/>
    <w:uiPriority w:val="99"/>
    <w:unhideWhenUsed/>
    <w:rsid w:val="005849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4919"/>
    <w:rPr>
      <w:sz w:val="18"/>
      <w:szCs w:val="18"/>
    </w:rPr>
  </w:style>
  <w:style w:type="table" w:styleId="a5">
    <w:name w:val="Table Grid"/>
    <w:basedOn w:val="a1"/>
    <w:rsid w:val="0058491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58491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3</cp:revision>
  <dcterms:created xsi:type="dcterms:W3CDTF">2023-02-01T02:48:00Z</dcterms:created>
  <dcterms:modified xsi:type="dcterms:W3CDTF">2024-03-22T02:33:00Z</dcterms:modified>
</cp:coreProperties>
</file>