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澄海区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年高中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学校自主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招收体育生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术科考试内容和评分标准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楷体_GB2312" w:eastAsia="楷体_GB2312"/>
          <w:color w:val="333333"/>
          <w:sz w:val="30"/>
          <w:szCs w:val="30"/>
          <w:lang w:eastAsia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年澄海区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高中学校自主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招生体育生考试内容由素质和专项二部分组成，总分为100分。赋分比例：素质占30%，专项占70%。每位考生必须参加这二部分内容的考试。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一、素质部分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9"/>
          <w:rFonts w:hint="eastAsia"/>
        </w:rPr>
        <w:t>（一）内容包括：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100米、立定跳远、原地投掷实心球（2KG）。各校可根据实际需要，在素质部分内容中选择2—3个内容作为测试项目。赋分比例：设置2个测试项目各占15%，设置3个测试项目各占10%。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（二）100米、原地投掷实心球、立定跳远考试方法及评分标准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10"/>
          <w:rFonts w:hint="eastAsia"/>
        </w:rPr>
        <w:t>1</w:t>
      </w:r>
      <w:r>
        <w:rPr>
          <w:rStyle w:val="10"/>
          <w:rFonts w:hint="eastAsia"/>
          <w:lang w:eastAsia="zh-CN"/>
        </w:rPr>
        <w:t>．</w:t>
      </w:r>
      <w:r>
        <w:rPr>
          <w:rStyle w:val="10"/>
          <w:rFonts w:hint="eastAsia"/>
        </w:rPr>
        <w:t>考试方法：</w:t>
      </w:r>
      <w:r>
        <w:rPr>
          <w:rFonts w:hint="eastAsia" w:ascii="仿宋" w:hAnsi="仿宋" w:eastAsia="仿宋" w:cs="仿宋"/>
          <w:sz w:val="32"/>
          <w:szCs w:val="32"/>
        </w:rPr>
        <w:t>按田径最新竞赛规则全能项</w:t>
      </w:r>
      <w:r>
        <w:rPr>
          <w:rStyle w:val="11"/>
          <w:rFonts w:hint="eastAsia" w:ascii="仿宋" w:hAnsi="仿宋" w:eastAsia="仿宋" w:cs="仿宋"/>
          <w:b w:val="0"/>
          <w:sz w:val="32"/>
          <w:szCs w:val="32"/>
        </w:rPr>
        <w:t>目100米跑</w:t>
      </w:r>
      <w:r>
        <w:rPr>
          <w:rFonts w:hint="eastAsia" w:ascii="仿宋" w:hAnsi="仿宋" w:eastAsia="仿宋" w:cs="仿宋"/>
          <w:sz w:val="32"/>
          <w:szCs w:val="32"/>
        </w:rPr>
        <w:t>的规定进行考试（每道三个表计时）。原地投掷实心球（实心球重量2公斤）按2011年普通高等院校体育考试的方法进行考试（每人掷三次，取其中一次最好成绩）。立定跳远按2017年汕头市初中学业水平考试体育科考试的方法进行考试（每人跳三次，取其中一次最好成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10"/>
          <w:rFonts w:hint="eastAsia"/>
        </w:rPr>
        <w:t>2</w:t>
      </w:r>
      <w:r>
        <w:rPr>
          <w:rStyle w:val="10"/>
          <w:rFonts w:hint="eastAsia"/>
          <w:lang w:eastAsia="zh-CN"/>
        </w:rPr>
        <w:t>．</w:t>
      </w:r>
      <w:r>
        <w:rPr>
          <w:rStyle w:val="10"/>
          <w:rFonts w:hint="eastAsia"/>
        </w:rPr>
        <w:t>评分标准：</w:t>
      </w:r>
      <w:r>
        <w:rPr>
          <w:rFonts w:hint="eastAsia" w:ascii="仿宋" w:hAnsi="仿宋" w:eastAsia="仿宋" w:cs="仿宋"/>
          <w:sz w:val="32"/>
          <w:szCs w:val="32"/>
        </w:rPr>
        <w:t>100米跑和原地投掷实心球按2011年普通高等学校体育术科考试大纲中的身体素质评分标准进行评分（100米跑用手计时考试的成绩加0.24秒计分）。立定跳远按2017年汕头市中考体育项目评分标准进行评分。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二、专项部分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每位考生按专项考试内容，任选一项进行考试。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（一）田径专项考试内容、方法及评分标准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考试内容：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（1）径赛项目（每道三个表计时）。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男生：200米、400米、800米、1500米、110米栏（栏高0.914米，栏距8.90米）。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女生：200米、400米、800米、1500米、100米栏（栏高0.840米，栏距8.30米）。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（2）田赛项目：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跳类  男生：跳高、跳远、三级跳远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女生：跳高、跳远、三级跳远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投类  男生：铅球（4KG）、标枪（700g）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女生：铅球（4KG）、标枪（600g）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考试方法：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（1）考生根据个人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具体情况</w:t>
      </w:r>
      <w:r>
        <w:rPr>
          <w:rFonts w:hint="eastAsia" w:ascii="仿宋" w:hAnsi="仿宋" w:eastAsia="仿宋" w:cs="仿宋"/>
          <w:sz w:val="32"/>
          <w:szCs w:val="32"/>
        </w:rPr>
        <w:t>任选一专项进行考试。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（2）径赛项目起跑执行二次抢跑规则，其他项目执行最新田径竞赛规则和裁判方法。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（3）径赛项目只进行一次考试。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（4）田赛项目按全能田赛项目比赛办法进行。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评分办法：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专项考试评分标准按“2007年普通高等院校田径专项考试内容及评分标准”计分，400米以下（含400米）考试用手计时成绩加0.24秒计分。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篮球专项考试内容、方法及评分标准</w:t>
      </w:r>
    </w:p>
    <w:p>
      <w:pPr>
        <w:pStyle w:val="4"/>
        <w:bidi w:val="0"/>
        <w:rPr>
          <w:rFonts w:hint="eastAsia" w:eastAsia="仿宋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考试内容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篮球专项考试内容由四个项目组成，分别为：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（1）助跑摸高11.2分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（2）半场往返运球绕杆投篮16.8分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（3）投篮16.8分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（4）全场或半场比赛25.2分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以上4项，总分为70分。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10"/>
          <w:rFonts w:hint="eastAsia"/>
        </w:rPr>
        <w:t>2</w:t>
      </w:r>
      <w:r>
        <w:rPr>
          <w:rStyle w:val="10"/>
          <w:rFonts w:hint="eastAsia"/>
          <w:lang w:eastAsia="zh-CN"/>
        </w:rPr>
        <w:t>．</w:t>
      </w:r>
      <w:r>
        <w:rPr>
          <w:rStyle w:val="10"/>
          <w:rFonts w:hint="eastAsia"/>
        </w:rPr>
        <w:t>考试方法及评分标准</w:t>
      </w:r>
      <w:r>
        <w:rPr>
          <w:rFonts w:hint="eastAsia" w:ascii="仿宋" w:hAnsi="仿宋" w:eastAsia="仿宋" w:cs="仿宋"/>
          <w:sz w:val="32"/>
          <w:szCs w:val="32"/>
        </w:rPr>
        <w:t>（见2007年高等院校篮球专项考试方法及标准）。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2A15"/>
    <w:rsid w:val="47BD2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62" w:firstLineChars="200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62" w:firstLineChars="200"/>
      <w:outlineLvl w:val="1"/>
    </w:pPr>
    <w:rPr>
      <w:rFonts w:ascii="楷体" w:hAnsi="楷体" w:eastAsia="楷体" w:cs="楷体"/>
      <w:sz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62" w:firstLineChars="200"/>
      <w:outlineLvl w:val="2"/>
    </w:pPr>
    <w:rPr>
      <w:rFonts w:eastAsia="仿宋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0"/>
    <w:pPr>
      <w:spacing w:line="480" w:lineRule="auto"/>
    </w:pPr>
    <w:rPr>
      <w:rFonts w:ascii="仿宋_GB2312" w:eastAsia="仿宋_GB2312"/>
      <w:b/>
      <w:bCs/>
      <w:sz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Char"/>
    <w:link w:val="3"/>
    <w:qFormat/>
    <w:uiPriority w:val="0"/>
    <w:rPr>
      <w:rFonts w:ascii="楷体" w:hAnsi="楷体" w:eastAsia="楷体" w:cs="楷体"/>
      <w:sz w:val="32"/>
    </w:rPr>
  </w:style>
  <w:style w:type="character" w:customStyle="1" w:styleId="10">
    <w:name w:val="标题 3 Char"/>
    <w:link w:val="4"/>
    <w:qFormat/>
    <w:uiPriority w:val="0"/>
    <w:rPr>
      <w:rFonts w:eastAsia="仿宋"/>
      <w:b/>
      <w:sz w:val="32"/>
    </w:rPr>
  </w:style>
  <w:style w:type="character" w:customStyle="1" w:styleId="11">
    <w:name w:val="正文文本 Char"/>
    <w:link w:val="5"/>
    <w:qFormat/>
    <w:uiPriority w:val="0"/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1073</Characters>
  <Lines>0</Lines>
  <Paragraphs>0</Paragraphs>
  <TotalTime>2</TotalTime>
  <ScaleCrop>false</ScaleCrop>
  <LinksUpToDate>false</LinksUpToDate>
  <CharactersWithSpaces>1089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2022-05-18T02:20:00Z</dcterms:created>
  <dc:creator>井底蛙</dc:creator>
  <cp:lastModifiedBy>井底蛙</cp:lastModifiedBy>
  <dcterms:modified xsi:type="dcterms:W3CDTF">2022-05-18T02:22:20Z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45DCC4FB51344525A314301A596C41E1</vt:lpwstr>
  </property>
</Properties>
</file>