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120" w:line="480" w:lineRule="auto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pStyle w:val="2"/>
        <w:spacing w:before="240" w:after="120" w:line="4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澄海区二级用地类型修正系数表</w:t>
      </w:r>
      <w:bookmarkStart w:id="0" w:name="_GoBack"/>
      <w:bookmarkEnd w:id="0"/>
    </w:p>
    <w:p>
      <w:pPr>
        <w:pStyle w:val="6"/>
        <w:jc w:val="both"/>
        <w:rPr>
          <w:rFonts w:ascii="Times New Roman" w:hAnsi="Times New Roman"/>
        </w:rPr>
      </w:pPr>
      <w:r>
        <w:rPr>
          <w:rFonts w:hint="eastAsia" w:ascii="Times New Roman" w:hAnsi="Times New Roman"/>
        </w:rPr>
        <w:t>澄海区二级用地类型修正系数具体如下表所示：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057"/>
        <w:gridCol w:w="828"/>
        <w:gridCol w:w="622"/>
        <w:gridCol w:w="4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1296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b/>
                <w:color w:val="000000"/>
                <w:sz w:val="18"/>
                <w:szCs w:val="18"/>
              </w:rPr>
              <w:t>用地类别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b/>
                <w:color w:val="000000"/>
                <w:sz w:val="18"/>
                <w:szCs w:val="18"/>
              </w:rPr>
              <w:t>用地类型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b/>
                <w:color w:val="000000"/>
                <w:sz w:val="18"/>
                <w:szCs w:val="18"/>
              </w:rPr>
              <w:t>适用基准地价类型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b/>
                <w:color w:val="000000"/>
                <w:sz w:val="18"/>
                <w:szCs w:val="18"/>
              </w:rPr>
              <w:t>修正系数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b/>
                <w:color w:val="000000"/>
                <w:sz w:val="18"/>
                <w:szCs w:val="18"/>
              </w:rPr>
              <w:t>用地类型说明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商服用地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零售商业用地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商服用地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以零售功能为主的商铺、商场、超市、市场和加油、加气、充换电站等的用地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批发市场用地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以批发功能为主的市场用地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餐饮用地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饭店，餐厅，酒吧等用地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旅馆用地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0.75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宾馆、旅馆、招待所、服务型公寓、度假村等用地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商务金融用地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4493" w:type="dxa"/>
            <w:vMerge w:val="restart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指商务服务用地，以及经营性的办公场所用地。包括写字楼、商业性办公场所、金融活动场所和企业厂区外独立的办公场所；信息网络信息服务、信息技术服务、电子商务服务、广告传媒等用地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493" w:type="dxa"/>
            <w:vMerge w:val="continue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娱乐用地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指剧院、音乐厅、电影院、歌舞厅、网吧、影视城、仿古城以及绿地率小于65%的大型游乐等施设用地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其它商服用地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3" w:type="dxa"/>
            <w:vMerge w:val="restart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零售商业、批发市场、餐饮、旅馆、商务金融、娱乐用地以外的其他商业服务用地。包括洗车场、洗染店、照相馆、理发美容店、洗浴场所、赛马场、高尔夫球场、废旧物质回收账、机动车、电子产品、和日用产品修理网点、物流营业网点，及居住小区及小区级以下的配套的服务设施等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493" w:type="dxa"/>
            <w:vMerge w:val="continue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住宅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城镇住宅用地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住宅用地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指城镇用于生活居住的各类房屋用地及其附属设施用地，不含配套的商业服务设施等用地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农村宅基地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指农村用于生活居住的宅基地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工矿仓储用地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工业用地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工业用地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指工业生产，产品加工制造。机械和设备修理及直接为工业生产等服务的附属设施用地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采矿用地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指采矿、采石、采砂（沙）场，砖瓦窑等地面生产用地及尾矿堆放地，排土（石）及尾矿堆放地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盐田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0.9</w:t>
            </w:r>
          </w:p>
        </w:tc>
        <w:tc>
          <w:tcPr>
            <w:tcW w:w="4493" w:type="dxa"/>
            <w:vMerge w:val="restart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 xml:space="preserve">指用于生产盐的土地。包括晒盐场所，盐池及附属设施用地。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493" w:type="dxa"/>
            <w:vMerge w:val="continue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仓储用地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仓储用地指物资储备、中转的场所用地。包括物流仓储设施、配送中心、转运中心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公共管理与公共服务用地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机关团体用地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公共服务项目用地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指用于党政机关、社会团体、群众自治组织等的用地。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新闻出版用地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指用于广播电台、电视台、电影厂、报社、杂志社、通讯社、出版社等的用地。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教育用地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 xml:space="preserve"> 指用于各类教育用地，包括高等院校、中等专业学校、中学、小学、幼儿园及其附属设施用地，聋、哑、盲人学校职工读学校用地，以及为学校配套的独立地段的学生生活用地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科研用地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3" w:type="dxa"/>
            <w:vMerge w:val="restart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指独立的科研、勘察、研发、设计、检验检测、技术推广、环境评估与监测、科普等科研事业单位及其附属设施用地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493" w:type="dxa"/>
            <w:vMerge w:val="continue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医疗卫生用地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 xml:space="preserve">指用于医疗、保健、卫生、防疫、康复和急救设施等用地。包括综合医院、专科医院、社区卫生服务中心等用地；卫生防疫站、专科防治所、检验中心和动物检疫站等用地；对环境有特殊要求的传染病、精神病等专科医院用地；急救中心、血库等用地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社会福利用地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4493" w:type="dxa"/>
            <w:vMerge w:val="restart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 xml:space="preserve">指为社会提供福利和慈善服务的设施及其附属设施用地。包括福利院，养老院，孤儿院等用地。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493" w:type="dxa"/>
            <w:vMerge w:val="continue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文化设施用地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指图书、展览等公共文化活动设施用地。包括公共图书馆、博物馆、档案馆、科技馆、纪念馆、美术馆和展览管等设施用地；综合文化活动中心、文化馆、青少年宫、儿童活动中心、老年活动中心等设施用地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体育用地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体育场馆和体育训练基地等用地，包括室内外体育运动用地，如体育场馆、游泳场馆、各类球场及其附属的业余体校等用地，溜冰场、跳伞场、摩托车场、射击场，及水上运动的陆域部分等用地，以及为体育运动专设的训练基地用地，不包括学校等机构专用的体育设施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公用设施用地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</w:t>
            </w:r>
            <w:r>
              <w:rPr>
                <w:rFonts w:eastAsia="黑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指用于城乡基础设施的用地。包括供水、排水、污水处理、供电、供热、供气、邮政、电信、消防、环卫、公用设施维修等用地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公园与绿地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</w:t>
            </w:r>
            <w:r>
              <w:rPr>
                <w:rFonts w:eastAsia="黑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 xml:space="preserve">指城镇、村庄范围内的公园、动物园、植物园、街心花园、广场和用于休憩、美化环境及防护的绿化用地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特殊用地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风景名胜设施用地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公共服务项目用地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</w:t>
            </w:r>
            <w:r>
              <w:rPr>
                <w:rFonts w:eastAsia="黑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指风景名胜（包括名胜古迹、旅游景点、革命遗址、自然保护区、森林公园、地质公园、湿地公园等）景点及管理机构的建筑用地。景区内的其它用地按现状归入相应地类。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宗教用地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指专门用于宗教活动的庙宇、寺院、道观、教堂等宗教自用地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殡葬用地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指陵园、墓地、殡葬场所用地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交通运输用地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公用地上停车场（库）用地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住宅用地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指用于地面停放和保管车辆及其附属设施的项目用地，不包括公共汽车站场及交通运输站的停车场所用地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公用地下停车场（库）用地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0.3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指位于公共基础设施、广场、公共建筑等地下一层独立的经营性停车场（库）用地，不包括商品住宅、写字楼、机场等配套的停车场（库）用地（地下二层楼按照地下一层减半计收，地下三层及以下不计收）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铁路用地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工业用地</w:t>
            </w: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指用于铁道线路及场站的用地。包括征地范围内的路堤、路堑、道沟、桥梁、林木等用地。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轨道交通用地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指用于轻轨、现代有轨电车、单轨等轨道交通用地，以及场站的用地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公路用地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指用于国道、省道、县道、乡道及高速公路的用地。包括设计内的路堤、路堑、道沟、桥梁、林木及直接为其服务的附属用地。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城镇村道路用地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指城镇、村庄范围内公用道路及行道树的用地。包括快速路、主干道、次干道、支路、专用人行道和非机动车道，及其交叉口等公共停车场，汽车客货运输站点及停车场等用地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交通服务场站用地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指城镇、村庄范围内交通服务设施用地。包括公交枢纽及其附属设施用地、公路长途客运站、公共交通场站、公共停车场（含设有充电桩的停车场）、停车楼、教练场等用地，不包含交通指挥中心、交通队用地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机场用地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0.7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指民用及军民合用的机场用地，包括飞行区、航站区、候机楼等用地。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港口码头用地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指用于人工修建的客运、货运、捕捞及工程、工作船舶停靠的场所及其附属建筑物的用地，不包括常水位以下部分。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96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管道运输用地</w:t>
            </w:r>
          </w:p>
        </w:tc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93" w:type="dxa"/>
            <w:shd w:val="clear" w:color="auto" w:fill="auto"/>
            <w:vAlign w:val="center"/>
          </w:tcPr>
          <w:p>
            <w:pPr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指用于运输煤炭、矿石、石油、天然气等管道及其相应附属设施的地上部分用地。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40"/>
    <w:rsid w:val="000A49D1"/>
    <w:rsid w:val="00124BBD"/>
    <w:rsid w:val="00877D44"/>
    <w:rsid w:val="00AB7540"/>
    <w:rsid w:val="00BE0187"/>
    <w:rsid w:val="00CA22B0"/>
    <w:rsid w:val="00FD4F87"/>
    <w:rsid w:val="58A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uiPriority w:val="99"/>
    <w:pPr>
      <w:spacing w:after="120"/>
    </w:pPr>
  </w:style>
  <w:style w:type="paragraph" w:styleId="4">
    <w:name w:val="footer"/>
    <w:basedOn w:val="1"/>
    <w:link w:val="10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Body Text First Indent"/>
    <w:basedOn w:val="1"/>
    <w:link w:val="11"/>
    <w:qFormat/>
    <w:uiPriority w:val="99"/>
    <w:pPr>
      <w:spacing w:before="60" w:after="60" w:line="400" w:lineRule="exact"/>
      <w:ind w:firstLine="420"/>
    </w:pPr>
    <w:rPr>
      <w:rFonts w:asciiTheme="minorHAnsi" w:hAnsiTheme="minorHAnsi" w:eastAsiaTheme="minorEastAsia" w:cstheme="minorBidi"/>
      <w:kern w:val="2"/>
      <w:sz w:val="21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正文文本首行缩进 字符1"/>
    <w:link w:val="6"/>
    <w:uiPriority w:val="99"/>
    <w:rPr>
      <w:szCs w:val="24"/>
    </w:rPr>
  </w:style>
  <w:style w:type="character" w:customStyle="1" w:styleId="12">
    <w:name w:val="编号—列表 Char"/>
    <w:link w:val="13"/>
    <w:uiPriority w:val="0"/>
    <w:rPr>
      <w:rFonts w:eastAsia="华文细黑"/>
      <w:szCs w:val="24"/>
    </w:rPr>
  </w:style>
  <w:style w:type="paragraph" w:customStyle="1" w:styleId="13">
    <w:name w:val="编号—列表"/>
    <w:basedOn w:val="1"/>
    <w:next w:val="1"/>
    <w:link w:val="12"/>
    <w:uiPriority w:val="0"/>
    <w:pPr>
      <w:spacing w:line="500" w:lineRule="exact"/>
      <w:jc w:val="center"/>
    </w:pPr>
    <w:rPr>
      <w:rFonts w:eastAsia="华文细黑" w:asciiTheme="minorHAnsi" w:hAnsiTheme="minorHAnsi" w:cstheme="minorBidi"/>
      <w:kern w:val="2"/>
      <w:sz w:val="21"/>
    </w:rPr>
  </w:style>
  <w:style w:type="character" w:customStyle="1" w:styleId="14">
    <w:name w:val="正文文本 字符"/>
    <w:basedOn w:val="8"/>
    <w:link w:val="3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正文文本首行缩进 字符"/>
    <w:basedOn w:val="14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标题 1 字符"/>
    <w:basedOn w:val="8"/>
    <w:link w:val="2"/>
    <w:uiPriority w:val="9"/>
    <w:rPr>
      <w:rFonts w:ascii="宋体" w:hAnsi="宋体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2151</Characters>
  <Lines>17</Lines>
  <Paragraphs>5</Paragraphs>
  <TotalTime>0</TotalTime>
  <ScaleCrop>false</ScaleCrop>
  <LinksUpToDate>false</LinksUpToDate>
  <CharactersWithSpaces>2523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2019-01-17T08:32:00Z</dcterms:created>
  <dc:creator>huchiqiang5@163.com</dc:creator>
  <cp:lastModifiedBy>天那么蓝</cp:lastModifiedBy>
  <dcterms:modified xsi:type="dcterms:W3CDTF">2019-04-01T00:50:28Z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