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rPr>
      </w:pPr>
      <w:r>
        <w:rPr>
          <w:rFonts w:hint="eastAsia" w:eastAsia="黑体"/>
        </w:rPr>
        <w:t>附件1</w:t>
      </w:r>
    </w:p>
    <w:p>
      <w:pPr/>
    </w:p>
    <w:p>
      <w:pPr>
        <w:spacing w:line="560" w:lineRule="exact"/>
        <w:jc w:val="center"/>
        <w:rPr>
          <w:rFonts w:hint="eastAsia" w:ascii="方正小标宋简体" w:hAnsi="方正小标宋简体" w:eastAsia="方正小标宋简体" w:cs="方正小标宋简体"/>
          <w:b w:val="0"/>
          <w:bCs w:val="0"/>
          <w:sz w:val="36"/>
          <w:szCs w:val="36"/>
        </w:rPr>
      </w:pPr>
      <w:bookmarkStart w:id="0" w:name="_Hlk45621555"/>
      <w:r>
        <w:rPr>
          <w:rFonts w:hint="eastAsia" w:ascii="方正小标宋简体" w:hAnsi="方正小标宋简体" w:eastAsia="方正小标宋简体" w:cs="方正小标宋简体"/>
          <w:b w:val="0"/>
          <w:bCs w:val="0"/>
          <w:sz w:val="36"/>
          <w:szCs w:val="36"/>
        </w:rPr>
        <w:t>汕头市澄海区城镇国有建设用地标定地价</w:t>
      </w:r>
    </w:p>
    <w:p>
      <w:pPr>
        <w:spacing w:line="560" w:lineRule="exact"/>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体系建设项目基本内容</w:t>
      </w:r>
    </w:p>
    <w:bookmarkEnd w:id="0"/>
    <w:p>
      <w:pPr>
        <w:spacing w:line="560" w:lineRule="exact"/>
      </w:pPr>
    </w:p>
    <w:p>
      <w:pPr>
        <w:keepNext w:val="0"/>
        <w:keepLines w:val="0"/>
        <w:pageBreakBefore w:val="0"/>
        <w:widowControl w:val="0"/>
        <w:kinsoku/>
        <w:wordWrap/>
        <w:overflowPunct/>
        <w:topLinePunct w:val="0"/>
        <w:autoSpaceDE/>
        <w:autoSpaceDN/>
        <w:bidi w:val="0"/>
        <w:adjustRightInd w:val="0"/>
        <w:snapToGrid w:val="0"/>
        <w:spacing w:before="79" w:beforeLines="25" w:after="79" w:afterLines="25" w:line="300" w:lineRule="auto"/>
        <w:ind w:firstLine="640" w:firstLineChars="200"/>
        <w:textAlignment w:val="auto"/>
        <w:rPr>
          <w:rFonts w:ascii="仿宋_GB2312"/>
        </w:rPr>
      </w:pPr>
      <w:r>
        <w:rPr>
          <w:rFonts w:hint="eastAsia"/>
        </w:rPr>
        <w:t>一、本次公布的</w:t>
      </w:r>
      <w:r>
        <w:rPr>
          <w:rFonts w:hint="eastAsia"/>
          <w:lang w:eastAsia="zh-CN"/>
        </w:rPr>
        <w:t>汕头</w:t>
      </w:r>
      <w:bookmarkStart w:id="1" w:name="_GoBack"/>
      <w:bookmarkEnd w:id="1"/>
      <w:r>
        <w:rPr>
          <w:rFonts w:hint="eastAsia"/>
          <w:lang w:eastAsia="zh-CN"/>
        </w:rPr>
        <w:t>市澄海区城镇国有建设用地标定地价体系建设项目</w:t>
      </w:r>
      <w:r>
        <w:rPr>
          <w:rFonts w:hint="eastAsia" w:ascii="仿宋_GB2312"/>
        </w:rPr>
        <w:t>（以下简称“标定地价”）的公示范围为汕头市澄海区凤翔街道、澄华街道、广益街道、上华镇、莲下镇、莲上镇、溪南镇、东里镇、盐鸿镇、隆都镇、莲华镇的规划建设区范围内的由</w:t>
      </w:r>
      <w:r>
        <w:rPr>
          <w:rFonts w:hint="eastAsia" w:ascii="仿宋_GB2312"/>
          <w:lang w:val="en-US" w:eastAsia="zh-CN"/>
        </w:rPr>
        <w:t>5</w:t>
      </w:r>
      <w:r>
        <w:rPr>
          <w:rFonts w:ascii="仿宋_GB2312"/>
        </w:rPr>
        <w:t>1</w:t>
      </w:r>
      <w:r>
        <w:rPr>
          <w:rFonts w:hint="eastAsia" w:ascii="仿宋_GB2312"/>
        </w:rPr>
        <w:t>个标定区域连接构成的空间范围，公示范围土地面积共约为</w:t>
      </w:r>
      <w:r>
        <w:rPr>
          <w:rFonts w:hint="eastAsia" w:ascii="仿宋_GB2312"/>
          <w:lang w:val="en-US" w:eastAsia="zh-CN"/>
        </w:rPr>
        <w:t>22.07</w:t>
      </w:r>
      <w:r>
        <w:rPr>
          <w:rFonts w:hint="eastAsia" w:ascii="仿宋_GB2312"/>
        </w:rPr>
        <w:t>平方公里。</w:t>
      </w:r>
    </w:p>
    <w:p>
      <w:pPr>
        <w:pStyle w:val="13"/>
        <w:keepNext w:val="0"/>
        <w:keepLines w:val="0"/>
        <w:pageBreakBefore w:val="0"/>
        <w:widowControl w:val="0"/>
        <w:kinsoku/>
        <w:wordWrap/>
        <w:overflowPunct/>
        <w:topLinePunct w:val="0"/>
        <w:autoSpaceDE/>
        <w:autoSpaceDN/>
        <w:bidi w:val="0"/>
        <w:adjustRightInd w:val="0"/>
        <w:snapToGrid w:val="0"/>
        <w:spacing w:before="79" w:beforeLines="25" w:after="79" w:afterLines="25" w:line="300" w:lineRule="auto"/>
        <w:ind w:firstLine="640"/>
        <w:textAlignment w:val="auto"/>
        <w:rPr>
          <w:rFonts w:ascii="仿宋_GB2312"/>
        </w:rPr>
      </w:pPr>
      <w:r>
        <w:rPr>
          <w:rFonts w:hint="eastAsia" w:ascii="仿宋_GB2312"/>
        </w:rPr>
        <w:t>二、本次</w:t>
      </w:r>
      <w:r>
        <w:rPr>
          <w:rFonts w:hint="eastAsia" w:ascii="仿宋_GB2312"/>
          <w:lang w:eastAsia="zh-CN"/>
        </w:rPr>
        <w:t>澄海区</w:t>
      </w:r>
      <w:r>
        <w:rPr>
          <w:rFonts w:hint="eastAsia" w:ascii="仿宋_GB2312"/>
        </w:rPr>
        <w:t>城镇国有建设用地标定地价体系包括商服用地、住宅用地、商住混合用地及工业用地共</w:t>
      </w:r>
      <w:r>
        <w:rPr>
          <w:rFonts w:hint="eastAsia" w:ascii="仿宋_GB2312"/>
          <w:lang w:eastAsia="zh-CN"/>
        </w:rPr>
        <w:t>四</w:t>
      </w:r>
      <w:r>
        <w:rPr>
          <w:rFonts w:hint="eastAsia" w:ascii="仿宋_GB2312"/>
        </w:rPr>
        <w:t>种用途。住宅用地和商住混合用地的标准宗地评估价格表现形式包括首层楼面地价、平均楼面地价和地面地价，商服用地的标准宗地评估价格表现形式包括平均楼面地价和地面地价，工业用途的标准宗地评估价格表现形式为地面地价，价格单位为元/平方米，币种为人民币。各用途标定地价的内涵见下表：</w:t>
      </w:r>
    </w:p>
    <w:p>
      <w:pPr>
        <w:jc w:val="center"/>
        <w:rPr>
          <w:rFonts w:hint="eastAsia" w:ascii="仿宋_GB2312"/>
        </w:rPr>
      </w:pPr>
      <w:r>
        <w:rPr>
          <w:rFonts w:hint="eastAsia" w:ascii="仿宋_GB2312"/>
          <w:b/>
          <w:sz w:val="28"/>
          <w:szCs w:val="28"/>
        </w:rPr>
        <w:t xml:space="preserve">表1   </w:t>
      </w:r>
      <w:r>
        <w:rPr>
          <w:rFonts w:hint="eastAsia" w:ascii="仿宋_GB2312"/>
          <w:b/>
          <w:sz w:val="28"/>
          <w:szCs w:val="28"/>
          <w:lang w:eastAsia="zh-CN"/>
        </w:rPr>
        <w:t>澄海区</w:t>
      </w:r>
      <w:r>
        <w:rPr>
          <w:rFonts w:hint="eastAsia" w:ascii="仿宋_GB2312"/>
          <w:b/>
          <w:sz w:val="28"/>
          <w:szCs w:val="28"/>
        </w:rPr>
        <w:t>城镇国有建设用地标定地价内涵表</w:t>
      </w:r>
    </w:p>
    <w:tbl>
      <w:tblPr>
        <w:tblStyle w:val="10"/>
        <w:tblW w:w="8720" w:type="dxa"/>
        <w:jc w:val="center"/>
        <w:tblInd w:w="0" w:type="dxa"/>
        <w:shd w:val="clear" w:color="auto" w:fill="auto"/>
        <w:tblLayout w:type="fixed"/>
        <w:tblCellMar>
          <w:top w:w="0" w:type="dxa"/>
          <w:left w:w="108" w:type="dxa"/>
          <w:bottom w:w="0" w:type="dxa"/>
          <w:right w:w="108" w:type="dxa"/>
        </w:tblCellMar>
      </w:tblPr>
      <w:tblGrid>
        <w:gridCol w:w="991"/>
        <w:gridCol w:w="1767"/>
        <w:gridCol w:w="1416"/>
        <w:gridCol w:w="1450"/>
        <w:gridCol w:w="2006"/>
        <w:gridCol w:w="1090"/>
      </w:tblGrid>
      <w:tr>
        <w:tblPrEx>
          <w:shd w:val="clear" w:color="auto" w:fill="auto"/>
          <w:tblLayout w:type="fixed"/>
          <w:tblCellMar>
            <w:top w:w="0" w:type="dxa"/>
            <w:left w:w="108" w:type="dxa"/>
            <w:bottom w:w="0" w:type="dxa"/>
            <w:right w:w="108" w:type="dxa"/>
          </w:tblCellMar>
        </w:tblPrEx>
        <w:trPr>
          <w:trHeight w:val="369" w:hRule="atLeast"/>
          <w:tblHeader/>
          <w:jc w:val="center"/>
        </w:trPr>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
                <w:szCs w:val="28"/>
              </w:rPr>
            </w:pPr>
            <w:r>
              <w:rPr>
                <w:rFonts w:hint="eastAsia"/>
                <w:b/>
                <w:szCs w:val="28"/>
                <w:lang w:val="en-US" w:eastAsia="zh-CN"/>
              </w:rPr>
              <w:t>用地类型</w:t>
            </w:r>
          </w:p>
        </w:tc>
        <w:tc>
          <w:tcPr>
            <w:tcW w:w="1767" w:type="dxa"/>
            <w:tcBorders>
              <w:top w:val="single" w:color="auto" w:sz="4" w:space="0"/>
              <w:left w:val="nil"/>
              <w:bottom w:val="single" w:color="auto" w:sz="4" w:space="0"/>
              <w:right w:val="single" w:color="auto" w:sz="4" w:space="0"/>
            </w:tcBorders>
            <w:shd w:val="clear" w:color="auto" w:fill="auto"/>
            <w:vAlign w:val="center"/>
          </w:tcPr>
          <w:p>
            <w:pPr>
              <w:pStyle w:val="12"/>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b/>
                <w:szCs w:val="28"/>
                <w:lang w:val="en-US" w:eastAsia="zh-CN"/>
              </w:rPr>
            </w:pPr>
            <w:r>
              <w:rPr>
                <w:rFonts w:hint="eastAsia"/>
                <w:b/>
                <w:szCs w:val="28"/>
                <w:lang w:val="en-US" w:eastAsia="zh-CN"/>
              </w:rPr>
              <w:t>土地开发</w:t>
            </w:r>
          </w:p>
          <w:p>
            <w:pPr>
              <w:pStyle w:val="12"/>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
                <w:szCs w:val="28"/>
              </w:rPr>
            </w:pPr>
            <w:r>
              <w:rPr>
                <w:rFonts w:hint="eastAsia"/>
                <w:b/>
                <w:szCs w:val="28"/>
                <w:lang w:val="en-US" w:eastAsia="zh-CN"/>
              </w:rPr>
              <w:t>程度</w:t>
            </w:r>
          </w:p>
        </w:tc>
        <w:tc>
          <w:tcPr>
            <w:tcW w:w="1416" w:type="dxa"/>
            <w:tcBorders>
              <w:top w:val="single" w:color="auto" w:sz="4" w:space="0"/>
              <w:left w:val="nil"/>
              <w:bottom w:val="single" w:color="auto" w:sz="4" w:space="0"/>
              <w:right w:val="single" w:color="auto" w:sz="4" w:space="0"/>
            </w:tcBorders>
            <w:shd w:val="clear" w:color="auto" w:fill="auto"/>
            <w:vAlign w:val="center"/>
          </w:tcPr>
          <w:p>
            <w:pPr>
              <w:pStyle w:val="12"/>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
                <w:szCs w:val="28"/>
              </w:rPr>
            </w:pPr>
            <w:r>
              <w:rPr>
                <w:rFonts w:hint="eastAsia"/>
                <w:b/>
                <w:szCs w:val="28"/>
                <w:lang w:val="en-US" w:eastAsia="zh-CN"/>
              </w:rPr>
              <w:t>容积率</w:t>
            </w:r>
          </w:p>
        </w:tc>
        <w:tc>
          <w:tcPr>
            <w:tcW w:w="1450" w:type="dxa"/>
            <w:tcBorders>
              <w:top w:val="single" w:color="auto" w:sz="4" w:space="0"/>
              <w:left w:val="nil"/>
              <w:bottom w:val="single" w:color="auto" w:sz="4" w:space="0"/>
              <w:right w:val="single" w:color="auto" w:sz="4" w:space="0"/>
            </w:tcBorders>
            <w:shd w:val="clear" w:color="auto" w:fill="auto"/>
            <w:vAlign w:val="center"/>
          </w:tcPr>
          <w:p>
            <w:pPr>
              <w:pStyle w:val="12"/>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
                <w:szCs w:val="28"/>
              </w:rPr>
            </w:pPr>
            <w:r>
              <w:rPr>
                <w:rFonts w:hint="eastAsia"/>
                <w:b/>
                <w:szCs w:val="28"/>
                <w:lang w:val="en-US" w:eastAsia="zh-CN"/>
              </w:rPr>
              <w:t>价格表现</w:t>
            </w:r>
          </w:p>
          <w:p>
            <w:pPr>
              <w:pStyle w:val="12"/>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
                <w:szCs w:val="28"/>
              </w:rPr>
            </w:pPr>
            <w:r>
              <w:rPr>
                <w:rFonts w:hint="eastAsia"/>
                <w:b/>
                <w:szCs w:val="28"/>
                <w:lang w:val="en-US" w:eastAsia="zh-CN"/>
              </w:rPr>
              <w:t>形式</w:t>
            </w:r>
          </w:p>
        </w:tc>
        <w:tc>
          <w:tcPr>
            <w:tcW w:w="2006" w:type="dxa"/>
            <w:tcBorders>
              <w:top w:val="single" w:color="auto" w:sz="4" w:space="0"/>
              <w:left w:val="nil"/>
              <w:bottom w:val="single" w:color="auto" w:sz="4" w:space="0"/>
              <w:right w:val="single" w:color="auto" w:sz="4" w:space="0"/>
            </w:tcBorders>
            <w:shd w:val="clear" w:color="auto" w:fill="auto"/>
            <w:vAlign w:val="center"/>
          </w:tcPr>
          <w:p>
            <w:pPr>
              <w:pStyle w:val="12"/>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
                <w:szCs w:val="28"/>
              </w:rPr>
            </w:pPr>
            <w:r>
              <w:rPr>
                <w:rFonts w:hint="eastAsia"/>
                <w:b/>
                <w:szCs w:val="28"/>
                <w:lang w:val="en-US" w:eastAsia="zh-CN"/>
              </w:rPr>
              <w:t>权利特征</w:t>
            </w:r>
          </w:p>
        </w:tc>
        <w:tc>
          <w:tcPr>
            <w:tcW w:w="1090" w:type="dxa"/>
            <w:tcBorders>
              <w:top w:val="single" w:color="auto" w:sz="4" w:space="0"/>
              <w:left w:val="nil"/>
              <w:bottom w:val="single" w:color="auto" w:sz="4" w:space="0"/>
              <w:right w:val="single" w:color="auto" w:sz="4" w:space="0"/>
            </w:tcBorders>
            <w:shd w:val="clear" w:color="auto" w:fill="auto"/>
            <w:vAlign w:val="center"/>
          </w:tcPr>
          <w:p>
            <w:pPr>
              <w:pStyle w:val="12"/>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b/>
                <w:szCs w:val="28"/>
                <w:lang w:val="en-US" w:eastAsia="zh-CN"/>
              </w:rPr>
            </w:pPr>
            <w:r>
              <w:rPr>
                <w:rFonts w:hint="eastAsia"/>
                <w:b/>
                <w:szCs w:val="28"/>
                <w:lang w:val="en-US" w:eastAsia="zh-CN"/>
              </w:rPr>
              <w:t>使用</w:t>
            </w:r>
          </w:p>
          <w:p>
            <w:pPr>
              <w:pStyle w:val="12"/>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
                <w:szCs w:val="28"/>
              </w:rPr>
            </w:pPr>
            <w:r>
              <w:rPr>
                <w:rFonts w:hint="eastAsia"/>
                <w:b/>
                <w:szCs w:val="28"/>
                <w:lang w:val="en-US" w:eastAsia="zh-CN"/>
              </w:rPr>
              <w:t>年期</w:t>
            </w:r>
          </w:p>
        </w:tc>
      </w:tr>
      <w:tr>
        <w:tblPrEx>
          <w:tblLayout w:type="fixed"/>
          <w:tblCellMar>
            <w:top w:w="0" w:type="dxa"/>
            <w:left w:w="108" w:type="dxa"/>
            <w:bottom w:w="0" w:type="dxa"/>
            <w:right w:w="108" w:type="dxa"/>
          </w:tblCellMar>
        </w:tblPrEx>
        <w:trPr>
          <w:trHeight w:val="369" w:hRule="atLeast"/>
          <w:jc w:val="center"/>
        </w:trPr>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 w:val="0"/>
                <w:bCs/>
                <w:szCs w:val="28"/>
              </w:rPr>
            </w:pPr>
            <w:r>
              <w:rPr>
                <w:rFonts w:hint="eastAsia"/>
                <w:b w:val="0"/>
                <w:bCs/>
                <w:szCs w:val="28"/>
                <w:lang w:val="en-US" w:eastAsia="zh-CN"/>
              </w:rPr>
              <w:t>商服用地</w:t>
            </w:r>
          </w:p>
        </w:tc>
        <w:tc>
          <w:tcPr>
            <w:tcW w:w="1767" w:type="dxa"/>
            <w:tcBorders>
              <w:top w:val="nil"/>
              <w:left w:val="nil"/>
              <w:bottom w:val="single" w:color="auto" w:sz="4" w:space="0"/>
              <w:right w:val="single" w:color="auto" w:sz="4" w:space="0"/>
            </w:tcBorders>
            <w:shd w:val="clear" w:color="auto" w:fill="auto"/>
            <w:vAlign w:val="center"/>
          </w:tcPr>
          <w:p>
            <w:pPr>
              <w:pStyle w:val="12"/>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 w:val="0"/>
                <w:bCs/>
                <w:szCs w:val="28"/>
              </w:rPr>
            </w:pPr>
            <w:r>
              <w:rPr>
                <w:rFonts w:hint="eastAsia"/>
                <w:b w:val="0"/>
                <w:bCs/>
                <w:szCs w:val="28"/>
                <w:lang w:val="en-US" w:eastAsia="zh-CN"/>
              </w:rPr>
              <w:t>宗地外按现状基础设施开发条件、红线内场地平整</w:t>
            </w:r>
          </w:p>
        </w:tc>
        <w:tc>
          <w:tcPr>
            <w:tcW w:w="1416" w:type="dxa"/>
            <w:tcBorders>
              <w:top w:val="nil"/>
              <w:left w:val="nil"/>
              <w:bottom w:val="single" w:color="auto" w:sz="4" w:space="0"/>
              <w:right w:val="single" w:color="auto" w:sz="4" w:space="0"/>
            </w:tcBorders>
            <w:shd w:val="clear" w:color="auto" w:fill="auto"/>
            <w:vAlign w:val="center"/>
          </w:tcPr>
          <w:p>
            <w:pPr>
              <w:pStyle w:val="12"/>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 w:val="0"/>
                <w:bCs/>
                <w:szCs w:val="28"/>
              </w:rPr>
            </w:pPr>
            <w:r>
              <w:rPr>
                <w:rFonts w:hint="eastAsia"/>
                <w:b w:val="0"/>
                <w:bCs/>
                <w:szCs w:val="28"/>
                <w:lang w:val="en-US" w:eastAsia="zh-CN"/>
              </w:rPr>
              <w:t>按现状容积率，范围为</w:t>
            </w:r>
            <w:r>
              <w:rPr>
                <w:rFonts w:hint="default"/>
                <w:b w:val="0"/>
                <w:bCs/>
                <w:szCs w:val="28"/>
                <w:lang w:val="en-US" w:eastAsia="zh-CN"/>
              </w:rPr>
              <w:t>3.8-7</w:t>
            </w:r>
          </w:p>
        </w:tc>
        <w:tc>
          <w:tcPr>
            <w:tcW w:w="1450" w:type="dxa"/>
            <w:tcBorders>
              <w:top w:val="nil"/>
              <w:left w:val="nil"/>
              <w:bottom w:val="single" w:color="auto" w:sz="4" w:space="0"/>
              <w:right w:val="single" w:color="auto" w:sz="4" w:space="0"/>
            </w:tcBorders>
            <w:shd w:val="clear" w:color="auto" w:fill="auto"/>
            <w:vAlign w:val="center"/>
          </w:tcPr>
          <w:p>
            <w:pPr>
              <w:pStyle w:val="12"/>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 w:val="0"/>
                <w:bCs/>
                <w:szCs w:val="28"/>
              </w:rPr>
            </w:pPr>
            <w:r>
              <w:rPr>
                <w:rFonts w:hint="eastAsia"/>
                <w:b w:val="0"/>
                <w:bCs/>
                <w:szCs w:val="28"/>
                <w:lang w:val="en-US" w:eastAsia="zh-CN"/>
              </w:rPr>
              <w:t>平均楼面地价</w:t>
            </w:r>
            <w:r>
              <w:rPr>
                <w:rFonts w:hint="default"/>
                <w:b w:val="0"/>
                <w:bCs/>
                <w:szCs w:val="28"/>
                <w:lang w:val="en-US" w:eastAsia="zh-CN"/>
              </w:rPr>
              <w:t>/</w:t>
            </w:r>
            <w:r>
              <w:rPr>
                <w:rFonts w:hint="eastAsia"/>
                <w:b w:val="0"/>
                <w:bCs/>
                <w:szCs w:val="28"/>
                <w:lang w:val="en-US" w:eastAsia="zh-CN"/>
              </w:rPr>
              <w:t>地面地价</w:t>
            </w:r>
          </w:p>
        </w:tc>
        <w:tc>
          <w:tcPr>
            <w:tcW w:w="2006" w:type="dxa"/>
            <w:tcBorders>
              <w:top w:val="nil"/>
              <w:left w:val="nil"/>
              <w:bottom w:val="single" w:color="auto" w:sz="4" w:space="0"/>
              <w:right w:val="single" w:color="auto" w:sz="4" w:space="0"/>
            </w:tcBorders>
            <w:shd w:val="clear" w:color="auto" w:fill="auto"/>
            <w:vAlign w:val="center"/>
          </w:tcPr>
          <w:p>
            <w:pPr>
              <w:pStyle w:val="12"/>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 w:val="0"/>
                <w:bCs/>
                <w:szCs w:val="28"/>
              </w:rPr>
            </w:pPr>
            <w:r>
              <w:rPr>
                <w:rFonts w:hint="eastAsia"/>
                <w:b w:val="0"/>
                <w:bCs/>
                <w:szCs w:val="28"/>
                <w:lang w:val="en-US" w:eastAsia="zh-CN"/>
              </w:rPr>
              <w:t>具有相对完整的土地权利，不考虑抵押权、地役权等他项权利的限制</w:t>
            </w:r>
          </w:p>
        </w:tc>
        <w:tc>
          <w:tcPr>
            <w:tcW w:w="1090" w:type="dxa"/>
            <w:tcBorders>
              <w:top w:val="nil"/>
              <w:left w:val="nil"/>
              <w:bottom w:val="single" w:color="auto" w:sz="4" w:space="0"/>
              <w:right w:val="single" w:color="auto" w:sz="4" w:space="0"/>
            </w:tcBorders>
            <w:shd w:val="clear" w:color="auto" w:fill="auto"/>
            <w:vAlign w:val="center"/>
          </w:tcPr>
          <w:p>
            <w:pPr>
              <w:pStyle w:val="12"/>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 w:val="0"/>
                <w:bCs/>
                <w:szCs w:val="28"/>
              </w:rPr>
            </w:pPr>
            <w:r>
              <w:rPr>
                <w:rFonts w:hint="default"/>
                <w:b w:val="0"/>
                <w:bCs/>
                <w:szCs w:val="28"/>
                <w:lang w:val="en-US" w:eastAsia="zh-CN"/>
              </w:rPr>
              <w:t>40</w:t>
            </w:r>
            <w:r>
              <w:rPr>
                <w:rFonts w:hint="eastAsia"/>
                <w:b w:val="0"/>
                <w:bCs/>
                <w:szCs w:val="28"/>
                <w:lang w:val="en-US" w:eastAsia="zh-CN"/>
              </w:rPr>
              <w:t>年</w:t>
            </w:r>
          </w:p>
        </w:tc>
      </w:tr>
      <w:tr>
        <w:tblPrEx>
          <w:tblLayout w:type="fixed"/>
          <w:tblCellMar>
            <w:top w:w="0" w:type="dxa"/>
            <w:left w:w="108" w:type="dxa"/>
            <w:bottom w:w="0" w:type="dxa"/>
            <w:right w:w="108" w:type="dxa"/>
          </w:tblCellMar>
        </w:tblPrEx>
        <w:trPr>
          <w:trHeight w:val="369" w:hRule="atLeast"/>
          <w:jc w:val="center"/>
        </w:trPr>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 w:val="0"/>
                <w:bCs/>
                <w:szCs w:val="28"/>
              </w:rPr>
            </w:pPr>
            <w:r>
              <w:rPr>
                <w:rFonts w:hint="eastAsia"/>
                <w:b w:val="0"/>
                <w:bCs/>
                <w:szCs w:val="28"/>
                <w:lang w:val="en-US" w:eastAsia="zh-CN"/>
              </w:rPr>
              <w:t>住宅用地</w:t>
            </w:r>
          </w:p>
        </w:tc>
        <w:tc>
          <w:tcPr>
            <w:tcW w:w="1767" w:type="dxa"/>
            <w:tcBorders>
              <w:top w:val="nil"/>
              <w:left w:val="nil"/>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 w:val="0"/>
                <w:bCs/>
                <w:szCs w:val="28"/>
              </w:rPr>
            </w:pPr>
            <w:r>
              <w:rPr>
                <w:rFonts w:hint="eastAsia"/>
                <w:b w:val="0"/>
                <w:bCs/>
                <w:szCs w:val="28"/>
                <w:lang w:val="en-US" w:eastAsia="zh-CN"/>
              </w:rPr>
              <w:t>宗地外按现状基础设施开发条件、红线内场地平整</w:t>
            </w:r>
          </w:p>
        </w:tc>
        <w:tc>
          <w:tcPr>
            <w:tcW w:w="1416" w:type="dxa"/>
            <w:tcBorders>
              <w:top w:val="nil"/>
              <w:left w:val="nil"/>
              <w:bottom w:val="single" w:color="auto" w:sz="4" w:space="0"/>
              <w:right w:val="single" w:color="auto" w:sz="4" w:space="0"/>
            </w:tcBorders>
            <w:shd w:val="clear" w:color="auto" w:fill="auto"/>
            <w:vAlign w:val="center"/>
          </w:tcPr>
          <w:p>
            <w:pPr>
              <w:pStyle w:val="12"/>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 w:val="0"/>
                <w:bCs/>
                <w:szCs w:val="28"/>
              </w:rPr>
            </w:pPr>
            <w:r>
              <w:rPr>
                <w:rFonts w:hint="eastAsia"/>
                <w:b w:val="0"/>
                <w:bCs/>
                <w:szCs w:val="28"/>
                <w:lang w:val="en-US" w:eastAsia="zh-CN"/>
              </w:rPr>
              <w:t>按现状容积率，范围为</w:t>
            </w:r>
            <w:r>
              <w:rPr>
                <w:rFonts w:hint="default"/>
                <w:b w:val="0"/>
                <w:bCs/>
                <w:szCs w:val="28"/>
                <w:lang w:val="en-US" w:eastAsia="zh-CN"/>
              </w:rPr>
              <w:t>1.05-6.35</w:t>
            </w:r>
          </w:p>
        </w:tc>
        <w:tc>
          <w:tcPr>
            <w:tcW w:w="1450" w:type="dxa"/>
            <w:tcBorders>
              <w:top w:val="nil"/>
              <w:left w:val="nil"/>
              <w:bottom w:val="single" w:color="auto" w:sz="4" w:space="0"/>
              <w:right w:val="single" w:color="auto" w:sz="4" w:space="0"/>
            </w:tcBorders>
            <w:shd w:val="clear" w:color="auto" w:fill="auto"/>
            <w:vAlign w:val="center"/>
          </w:tcPr>
          <w:p>
            <w:pPr>
              <w:pStyle w:val="12"/>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 w:val="0"/>
                <w:bCs/>
                <w:szCs w:val="28"/>
              </w:rPr>
            </w:pPr>
            <w:r>
              <w:rPr>
                <w:rFonts w:hint="eastAsia"/>
                <w:b w:val="0"/>
                <w:bCs/>
                <w:szCs w:val="28"/>
                <w:lang w:val="en-US" w:eastAsia="zh-CN"/>
              </w:rPr>
              <w:t>首层楼面地价</w:t>
            </w:r>
            <w:r>
              <w:rPr>
                <w:rFonts w:hint="default"/>
                <w:b w:val="0"/>
                <w:bCs/>
                <w:szCs w:val="28"/>
                <w:lang w:val="en-US" w:eastAsia="zh-CN"/>
              </w:rPr>
              <w:t>/</w:t>
            </w:r>
            <w:r>
              <w:rPr>
                <w:rFonts w:hint="eastAsia"/>
                <w:b w:val="0"/>
                <w:bCs/>
                <w:szCs w:val="28"/>
                <w:lang w:val="en-US" w:eastAsia="zh-CN"/>
              </w:rPr>
              <w:t>平均楼面地价</w:t>
            </w:r>
            <w:r>
              <w:rPr>
                <w:rFonts w:hint="default"/>
                <w:b w:val="0"/>
                <w:bCs/>
                <w:szCs w:val="28"/>
                <w:lang w:val="en-US" w:eastAsia="zh-CN"/>
              </w:rPr>
              <w:t>/</w:t>
            </w:r>
            <w:r>
              <w:rPr>
                <w:rFonts w:hint="eastAsia"/>
                <w:b w:val="0"/>
                <w:bCs/>
                <w:szCs w:val="28"/>
                <w:lang w:val="en-US" w:eastAsia="zh-CN"/>
              </w:rPr>
              <w:t>地面地价</w:t>
            </w:r>
          </w:p>
        </w:tc>
        <w:tc>
          <w:tcPr>
            <w:tcW w:w="2006" w:type="dxa"/>
            <w:tcBorders>
              <w:top w:val="nil"/>
              <w:left w:val="nil"/>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 w:val="0"/>
                <w:bCs/>
                <w:szCs w:val="28"/>
              </w:rPr>
            </w:pPr>
            <w:r>
              <w:rPr>
                <w:rFonts w:hint="eastAsia"/>
                <w:b w:val="0"/>
                <w:bCs/>
                <w:szCs w:val="28"/>
                <w:lang w:val="en-US" w:eastAsia="zh-CN"/>
              </w:rPr>
              <w:t>具有相对完整的土地权利，不考虑抵押权、地役权等他项权利的限制</w:t>
            </w:r>
          </w:p>
        </w:tc>
        <w:tc>
          <w:tcPr>
            <w:tcW w:w="1090" w:type="dxa"/>
            <w:tcBorders>
              <w:top w:val="nil"/>
              <w:left w:val="nil"/>
              <w:bottom w:val="single" w:color="auto" w:sz="4" w:space="0"/>
              <w:right w:val="single" w:color="auto" w:sz="4" w:space="0"/>
            </w:tcBorders>
            <w:shd w:val="clear" w:color="auto" w:fill="auto"/>
            <w:vAlign w:val="center"/>
          </w:tcPr>
          <w:p>
            <w:pPr>
              <w:pStyle w:val="12"/>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 w:val="0"/>
                <w:bCs/>
                <w:szCs w:val="28"/>
              </w:rPr>
            </w:pPr>
            <w:r>
              <w:rPr>
                <w:rFonts w:hint="default"/>
                <w:b w:val="0"/>
                <w:bCs/>
                <w:szCs w:val="28"/>
                <w:lang w:val="en-US" w:eastAsia="zh-CN"/>
              </w:rPr>
              <w:t>70</w:t>
            </w:r>
            <w:r>
              <w:rPr>
                <w:rFonts w:hint="eastAsia"/>
                <w:b w:val="0"/>
                <w:bCs/>
                <w:szCs w:val="28"/>
                <w:lang w:val="en-US" w:eastAsia="zh-CN"/>
              </w:rPr>
              <w:t>年</w:t>
            </w:r>
          </w:p>
        </w:tc>
      </w:tr>
      <w:tr>
        <w:tblPrEx>
          <w:tblLayout w:type="fixed"/>
          <w:tblCellMar>
            <w:top w:w="0" w:type="dxa"/>
            <w:left w:w="108" w:type="dxa"/>
            <w:bottom w:w="0" w:type="dxa"/>
            <w:right w:w="108" w:type="dxa"/>
          </w:tblCellMar>
        </w:tblPrEx>
        <w:trPr>
          <w:trHeight w:val="369" w:hRule="atLeast"/>
          <w:jc w:val="center"/>
        </w:trPr>
        <w:tc>
          <w:tcPr>
            <w:tcW w:w="991" w:type="dxa"/>
            <w:tcBorders>
              <w:top w:val="nil"/>
              <w:left w:val="single" w:color="auto" w:sz="4" w:space="0"/>
              <w:bottom w:val="single" w:color="auto" w:sz="4" w:space="0"/>
              <w:right w:val="single" w:color="auto" w:sz="4" w:space="0"/>
            </w:tcBorders>
            <w:shd w:val="clear" w:color="auto" w:fill="auto"/>
            <w:vAlign w:val="center"/>
          </w:tcPr>
          <w:p>
            <w:pPr>
              <w:pStyle w:val="12"/>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 w:val="0"/>
                <w:bCs/>
                <w:szCs w:val="28"/>
              </w:rPr>
            </w:pPr>
            <w:r>
              <w:rPr>
                <w:rFonts w:hint="eastAsia"/>
                <w:b w:val="0"/>
                <w:bCs/>
                <w:szCs w:val="28"/>
                <w:lang w:val="en-US" w:eastAsia="zh-CN"/>
              </w:rPr>
              <w:t>商住混合用地</w:t>
            </w:r>
          </w:p>
        </w:tc>
        <w:tc>
          <w:tcPr>
            <w:tcW w:w="1767" w:type="dxa"/>
            <w:tcBorders>
              <w:top w:val="nil"/>
              <w:left w:val="nil"/>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 w:val="0"/>
                <w:bCs/>
                <w:szCs w:val="28"/>
              </w:rPr>
            </w:pPr>
            <w:r>
              <w:rPr>
                <w:rFonts w:hint="eastAsia"/>
                <w:b w:val="0"/>
                <w:bCs/>
                <w:szCs w:val="28"/>
                <w:lang w:val="en-US" w:eastAsia="zh-CN"/>
              </w:rPr>
              <w:t>宗地外按现状基础设施开发条件、红线内场地平整</w:t>
            </w:r>
          </w:p>
        </w:tc>
        <w:tc>
          <w:tcPr>
            <w:tcW w:w="1416" w:type="dxa"/>
            <w:tcBorders>
              <w:top w:val="nil"/>
              <w:left w:val="nil"/>
              <w:bottom w:val="single" w:color="auto" w:sz="4" w:space="0"/>
              <w:right w:val="single" w:color="auto" w:sz="4" w:space="0"/>
            </w:tcBorders>
            <w:shd w:val="clear" w:color="auto" w:fill="auto"/>
            <w:vAlign w:val="center"/>
          </w:tcPr>
          <w:p>
            <w:pPr>
              <w:pStyle w:val="12"/>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 w:val="0"/>
                <w:bCs/>
                <w:szCs w:val="28"/>
              </w:rPr>
            </w:pPr>
            <w:r>
              <w:rPr>
                <w:rFonts w:hint="eastAsia"/>
                <w:b w:val="0"/>
                <w:bCs/>
                <w:szCs w:val="28"/>
                <w:lang w:val="en-US" w:eastAsia="zh-CN"/>
              </w:rPr>
              <w:t>按现状容积率，范围为</w:t>
            </w:r>
            <w:r>
              <w:rPr>
                <w:rFonts w:hint="default"/>
                <w:b w:val="0"/>
                <w:bCs/>
                <w:szCs w:val="28"/>
                <w:lang w:val="en-US" w:eastAsia="zh-CN"/>
              </w:rPr>
              <w:t>4.3-5.28</w:t>
            </w:r>
          </w:p>
        </w:tc>
        <w:tc>
          <w:tcPr>
            <w:tcW w:w="1450" w:type="dxa"/>
            <w:tcBorders>
              <w:top w:val="nil"/>
              <w:left w:val="nil"/>
              <w:bottom w:val="single" w:color="auto" w:sz="4" w:space="0"/>
              <w:right w:val="single" w:color="auto" w:sz="4" w:space="0"/>
            </w:tcBorders>
            <w:shd w:val="clear" w:color="auto" w:fill="auto"/>
            <w:vAlign w:val="center"/>
          </w:tcPr>
          <w:p>
            <w:pPr>
              <w:pStyle w:val="12"/>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 w:val="0"/>
                <w:bCs/>
                <w:szCs w:val="28"/>
              </w:rPr>
            </w:pPr>
            <w:r>
              <w:rPr>
                <w:rFonts w:hint="eastAsia"/>
                <w:b w:val="0"/>
                <w:bCs/>
                <w:szCs w:val="28"/>
                <w:lang w:val="en-US" w:eastAsia="zh-CN"/>
              </w:rPr>
              <w:t>首层楼面地价</w:t>
            </w:r>
            <w:r>
              <w:rPr>
                <w:rFonts w:hint="default"/>
                <w:b w:val="0"/>
                <w:bCs/>
                <w:szCs w:val="28"/>
                <w:lang w:val="en-US" w:eastAsia="zh-CN"/>
              </w:rPr>
              <w:t>/</w:t>
            </w:r>
            <w:r>
              <w:rPr>
                <w:rFonts w:hint="eastAsia"/>
                <w:b w:val="0"/>
                <w:bCs/>
                <w:szCs w:val="28"/>
                <w:lang w:val="en-US" w:eastAsia="zh-CN"/>
              </w:rPr>
              <w:t>平均楼面地价</w:t>
            </w:r>
            <w:r>
              <w:rPr>
                <w:rFonts w:hint="default"/>
                <w:b w:val="0"/>
                <w:bCs/>
                <w:szCs w:val="28"/>
                <w:lang w:val="en-US" w:eastAsia="zh-CN"/>
              </w:rPr>
              <w:t>/</w:t>
            </w:r>
            <w:r>
              <w:rPr>
                <w:rFonts w:hint="eastAsia"/>
                <w:b w:val="0"/>
                <w:bCs/>
                <w:szCs w:val="28"/>
                <w:lang w:val="en-US" w:eastAsia="zh-CN"/>
              </w:rPr>
              <w:t>地面地价</w:t>
            </w:r>
          </w:p>
        </w:tc>
        <w:tc>
          <w:tcPr>
            <w:tcW w:w="2006" w:type="dxa"/>
            <w:tcBorders>
              <w:top w:val="nil"/>
              <w:left w:val="nil"/>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 w:val="0"/>
                <w:bCs/>
                <w:szCs w:val="28"/>
              </w:rPr>
            </w:pPr>
            <w:r>
              <w:rPr>
                <w:rFonts w:hint="eastAsia"/>
                <w:b w:val="0"/>
                <w:bCs/>
                <w:szCs w:val="28"/>
                <w:lang w:val="en-US" w:eastAsia="zh-CN"/>
              </w:rPr>
              <w:t>具有相对完整的土地权利，不考虑抵押权、地役权等他项权利的限制</w:t>
            </w:r>
          </w:p>
        </w:tc>
        <w:tc>
          <w:tcPr>
            <w:tcW w:w="1090" w:type="dxa"/>
            <w:tcBorders>
              <w:top w:val="nil"/>
              <w:left w:val="nil"/>
              <w:bottom w:val="single" w:color="auto" w:sz="4" w:space="0"/>
              <w:right w:val="single" w:color="auto" w:sz="4" w:space="0"/>
            </w:tcBorders>
            <w:shd w:val="clear" w:color="auto" w:fill="auto"/>
            <w:vAlign w:val="center"/>
          </w:tcPr>
          <w:p>
            <w:pPr>
              <w:pStyle w:val="12"/>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 w:val="0"/>
                <w:bCs/>
                <w:szCs w:val="28"/>
              </w:rPr>
            </w:pPr>
            <w:r>
              <w:rPr>
                <w:rFonts w:hint="eastAsia"/>
                <w:b w:val="0"/>
                <w:bCs/>
                <w:szCs w:val="28"/>
                <w:lang w:val="en-US" w:eastAsia="zh-CN"/>
              </w:rPr>
              <w:t>商服用地</w:t>
            </w:r>
            <w:r>
              <w:rPr>
                <w:rFonts w:hint="default"/>
                <w:b w:val="0"/>
                <w:bCs/>
                <w:szCs w:val="28"/>
                <w:lang w:val="en-US" w:eastAsia="zh-CN"/>
              </w:rPr>
              <w:t>40</w:t>
            </w:r>
            <w:r>
              <w:rPr>
                <w:rFonts w:hint="eastAsia"/>
                <w:b w:val="0"/>
                <w:bCs/>
                <w:szCs w:val="28"/>
                <w:lang w:val="en-US" w:eastAsia="zh-CN"/>
              </w:rPr>
              <w:t>年；住宅用地</w:t>
            </w:r>
            <w:r>
              <w:rPr>
                <w:rFonts w:hint="default"/>
                <w:b w:val="0"/>
                <w:bCs/>
                <w:szCs w:val="28"/>
                <w:lang w:val="en-US" w:eastAsia="zh-CN"/>
              </w:rPr>
              <w:t>70</w:t>
            </w:r>
            <w:r>
              <w:rPr>
                <w:rFonts w:hint="eastAsia"/>
                <w:b w:val="0"/>
                <w:bCs/>
                <w:szCs w:val="28"/>
                <w:lang w:val="en-US" w:eastAsia="zh-CN"/>
              </w:rPr>
              <w:t>年</w:t>
            </w:r>
          </w:p>
        </w:tc>
      </w:tr>
      <w:tr>
        <w:tblPrEx>
          <w:tblLayout w:type="fixed"/>
          <w:tblCellMar>
            <w:top w:w="0" w:type="dxa"/>
            <w:left w:w="108" w:type="dxa"/>
            <w:bottom w:w="0" w:type="dxa"/>
            <w:right w:w="108" w:type="dxa"/>
          </w:tblCellMar>
        </w:tblPrEx>
        <w:trPr>
          <w:trHeight w:val="369" w:hRule="atLeast"/>
          <w:jc w:val="center"/>
        </w:trPr>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 w:val="0"/>
                <w:bCs/>
                <w:szCs w:val="28"/>
              </w:rPr>
            </w:pPr>
            <w:r>
              <w:rPr>
                <w:rFonts w:hint="eastAsia"/>
                <w:b w:val="0"/>
                <w:bCs/>
                <w:szCs w:val="28"/>
                <w:lang w:val="en-US" w:eastAsia="zh-CN"/>
              </w:rPr>
              <w:t>工业用地</w:t>
            </w:r>
          </w:p>
        </w:tc>
        <w:tc>
          <w:tcPr>
            <w:tcW w:w="1767" w:type="dxa"/>
            <w:tcBorders>
              <w:top w:val="nil"/>
              <w:left w:val="nil"/>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 w:val="0"/>
                <w:bCs/>
                <w:szCs w:val="28"/>
              </w:rPr>
            </w:pPr>
            <w:r>
              <w:rPr>
                <w:rFonts w:hint="eastAsia"/>
                <w:b w:val="0"/>
                <w:bCs/>
                <w:szCs w:val="28"/>
                <w:lang w:val="en-US" w:eastAsia="zh-CN"/>
              </w:rPr>
              <w:t>宗地外按现状基础设施开发条件、红线内场地平整</w:t>
            </w:r>
          </w:p>
        </w:tc>
        <w:tc>
          <w:tcPr>
            <w:tcW w:w="1416" w:type="dxa"/>
            <w:tcBorders>
              <w:top w:val="nil"/>
              <w:left w:val="nil"/>
              <w:bottom w:val="single" w:color="auto" w:sz="4" w:space="0"/>
              <w:right w:val="single" w:color="auto" w:sz="4" w:space="0"/>
            </w:tcBorders>
            <w:shd w:val="clear" w:color="auto" w:fill="auto"/>
            <w:vAlign w:val="center"/>
          </w:tcPr>
          <w:p>
            <w:pPr>
              <w:pStyle w:val="12"/>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 w:val="0"/>
                <w:bCs/>
                <w:szCs w:val="28"/>
              </w:rPr>
            </w:pPr>
            <w:r>
              <w:rPr>
                <w:rFonts w:hint="eastAsia"/>
                <w:b w:val="0"/>
                <w:bCs/>
                <w:szCs w:val="28"/>
                <w:lang w:val="en-US" w:eastAsia="zh-CN"/>
              </w:rPr>
              <w:t>按现状容积率，范围为</w:t>
            </w:r>
            <w:r>
              <w:rPr>
                <w:rFonts w:hint="default"/>
                <w:b w:val="0"/>
                <w:bCs/>
                <w:szCs w:val="28"/>
                <w:lang w:val="en-US" w:eastAsia="zh-CN"/>
              </w:rPr>
              <w:t>0.31-3.17</w:t>
            </w:r>
          </w:p>
        </w:tc>
        <w:tc>
          <w:tcPr>
            <w:tcW w:w="1450" w:type="dxa"/>
            <w:tcBorders>
              <w:top w:val="nil"/>
              <w:left w:val="nil"/>
              <w:bottom w:val="single" w:color="auto" w:sz="4" w:space="0"/>
              <w:right w:val="single" w:color="auto" w:sz="4" w:space="0"/>
            </w:tcBorders>
            <w:shd w:val="clear" w:color="auto" w:fill="auto"/>
            <w:vAlign w:val="center"/>
          </w:tcPr>
          <w:p>
            <w:pPr>
              <w:pStyle w:val="12"/>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 w:val="0"/>
                <w:bCs/>
                <w:szCs w:val="28"/>
              </w:rPr>
            </w:pPr>
            <w:r>
              <w:rPr>
                <w:rFonts w:hint="eastAsia"/>
                <w:b w:val="0"/>
                <w:bCs/>
                <w:szCs w:val="28"/>
                <w:lang w:val="en-US" w:eastAsia="zh-CN"/>
              </w:rPr>
              <w:t>地面地价</w:t>
            </w:r>
          </w:p>
        </w:tc>
        <w:tc>
          <w:tcPr>
            <w:tcW w:w="2006" w:type="dxa"/>
            <w:tcBorders>
              <w:top w:val="nil"/>
              <w:left w:val="nil"/>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 w:val="0"/>
                <w:bCs/>
                <w:szCs w:val="28"/>
              </w:rPr>
            </w:pPr>
            <w:r>
              <w:rPr>
                <w:rFonts w:hint="eastAsia"/>
                <w:b w:val="0"/>
                <w:bCs/>
                <w:szCs w:val="28"/>
                <w:lang w:val="en-US" w:eastAsia="zh-CN"/>
              </w:rPr>
              <w:t>具有相对完整的土地权利，不考虑抵押权、地役权等他项权利的限制</w:t>
            </w:r>
          </w:p>
        </w:tc>
        <w:tc>
          <w:tcPr>
            <w:tcW w:w="1090" w:type="dxa"/>
            <w:tcBorders>
              <w:top w:val="nil"/>
              <w:left w:val="nil"/>
              <w:bottom w:val="single" w:color="auto" w:sz="4" w:space="0"/>
              <w:right w:val="single" w:color="auto" w:sz="4" w:space="0"/>
            </w:tcBorders>
            <w:shd w:val="clear" w:color="auto" w:fill="auto"/>
            <w:vAlign w:val="center"/>
          </w:tcPr>
          <w:p>
            <w:pPr>
              <w:pStyle w:val="12"/>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 w:val="0"/>
                <w:bCs/>
                <w:szCs w:val="28"/>
              </w:rPr>
            </w:pPr>
            <w:r>
              <w:rPr>
                <w:rFonts w:hint="default"/>
                <w:b w:val="0"/>
                <w:bCs/>
                <w:szCs w:val="28"/>
                <w:lang w:val="en-US" w:eastAsia="zh-CN"/>
              </w:rPr>
              <w:t>50</w:t>
            </w:r>
            <w:r>
              <w:rPr>
                <w:rFonts w:hint="eastAsia"/>
                <w:b w:val="0"/>
                <w:bCs/>
                <w:szCs w:val="28"/>
                <w:lang w:val="en-US" w:eastAsia="zh-CN"/>
              </w:rPr>
              <w:t>年</w:t>
            </w:r>
          </w:p>
        </w:tc>
      </w:tr>
    </w:tbl>
    <w:p>
      <w:pPr>
        <w:keepNext w:val="0"/>
        <w:keepLines w:val="0"/>
        <w:pageBreakBefore w:val="0"/>
        <w:widowControl w:val="0"/>
        <w:kinsoku/>
        <w:wordWrap/>
        <w:overflowPunct/>
        <w:topLinePunct w:val="0"/>
        <w:autoSpaceDE/>
        <w:autoSpaceDN/>
        <w:bidi w:val="0"/>
        <w:adjustRightInd w:val="0"/>
        <w:snapToGrid w:val="0"/>
        <w:spacing w:before="79" w:beforeLines="25" w:after="79" w:afterLines="25" w:line="300" w:lineRule="auto"/>
        <w:ind w:firstLine="640" w:firstLineChars="200"/>
        <w:textAlignment w:val="auto"/>
        <w:rPr>
          <w:rFonts w:ascii="仿宋_GB2312"/>
        </w:rPr>
      </w:pPr>
      <w:r>
        <w:rPr>
          <w:rFonts w:hint="eastAsia" w:ascii="仿宋_GB2312"/>
        </w:rPr>
        <w:t>三、本次标定地价的估价期日为2020年1月1日。</w:t>
      </w:r>
    </w:p>
    <w:p>
      <w:pPr>
        <w:keepNext w:val="0"/>
        <w:keepLines w:val="0"/>
        <w:pageBreakBefore w:val="0"/>
        <w:widowControl w:val="0"/>
        <w:kinsoku/>
        <w:wordWrap/>
        <w:overflowPunct/>
        <w:topLinePunct w:val="0"/>
        <w:autoSpaceDE/>
        <w:autoSpaceDN/>
        <w:bidi w:val="0"/>
        <w:adjustRightInd w:val="0"/>
        <w:snapToGrid w:val="0"/>
        <w:spacing w:before="79" w:beforeLines="25" w:after="79" w:afterLines="25" w:line="300" w:lineRule="auto"/>
        <w:ind w:firstLine="640" w:firstLineChars="200"/>
        <w:textAlignment w:val="auto"/>
        <w:rPr>
          <w:rFonts w:ascii="仿宋_GB2312"/>
        </w:rPr>
      </w:pPr>
      <w:r>
        <w:rPr>
          <w:rFonts w:hint="eastAsia" w:ascii="仿宋_GB2312"/>
        </w:rPr>
        <w:t>四、参考《土地利用现状分类》（GB/T 21010-2017），进一步将标定地价的土地用途细分至二级类。具体如下表：</w:t>
      </w:r>
    </w:p>
    <w:p>
      <w:pPr>
        <w:adjustRightInd w:val="0"/>
        <w:snapToGrid w:val="0"/>
        <w:spacing w:before="156" w:beforeLines="50" w:after="156" w:afterLines="50"/>
        <w:ind w:firstLine="368" w:firstLineChars="131"/>
        <w:jc w:val="center"/>
        <w:rPr>
          <w:rFonts w:ascii="仿宋_GB2312"/>
        </w:rPr>
      </w:pPr>
      <w:r>
        <w:rPr>
          <w:rFonts w:hint="eastAsia" w:ascii="仿宋_GB2312"/>
          <w:b/>
          <w:sz w:val="28"/>
          <w:szCs w:val="28"/>
        </w:rPr>
        <w:t xml:space="preserve">表2   </w:t>
      </w:r>
      <w:r>
        <w:rPr>
          <w:rFonts w:hint="eastAsia" w:ascii="仿宋_GB2312"/>
          <w:b/>
          <w:sz w:val="28"/>
          <w:szCs w:val="28"/>
          <w:lang w:eastAsia="zh-CN"/>
        </w:rPr>
        <w:t>澄海区</w:t>
      </w:r>
      <w:r>
        <w:rPr>
          <w:rFonts w:hint="eastAsia" w:ascii="仿宋_GB2312"/>
          <w:b/>
          <w:sz w:val="28"/>
          <w:szCs w:val="28"/>
        </w:rPr>
        <w:t>城镇国有建设用地标定地价评估用途表</w:t>
      </w:r>
    </w:p>
    <w:tbl>
      <w:tblPr>
        <w:tblStyle w:val="10"/>
        <w:tblW w:w="8720" w:type="dxa"/>
        <w:tblInd w:w="0" w:type="dxa"/>
        <w:shd w:val="clear" w:color="auto" w:fill="auto"/>
        <w:tblLayout w:type="fixed"/>
        <w:tblCellMar>
          <w:top w:w="0" w:type="dxa"/>
          <w:left w:w="108" w:type="dxa"/>
          <w:bottom w:w="0" w:type="dxa"/>
          <w:right w:w="108" w:type="dxa"/>
        </w:tblCellMar>
      </w:tblPr>
      <w:tblGrid>
        <w:gridCol w:w="2474"/>
        <w:gridCol w:w="2116"/>
        <w:gridCol w:w="4130"/>
      </w:tblGrid>
      <w:tr>
        <w:tblPrEx>
          <w:shd w:val="clear" w:color="auto" w:fill="auto"/>
          <w:tblLayout w:type="fixed"/>
        </w:tblPrEx>
        <w:trPr>
          <w:cantSplit/>
          <w:trHeight w:val="397" w:hRule="atLeast"/>
          <w:tblHeader/>
        </w:trPr>
        <w:tc>
          <w:tcPr>
            <w:tcW w:w="24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ascii="仿宋_GB2312" w:cs="宋体"/>
                <w:b/>
                <w:bCs/>
                <w:sz w:val="28"/>
                <w:szCs w:val="28"/>
                <w:lang w:val="en-US"/>
              </w:rPr>
            </w:pPr>
            <w:r>
              <w:rPr>
                <w:rFonts w:hint="eastAsia" w:ascii="仿宋_GB2312" w:cs="宋体"/>
                <w:b/>
                <w:bCs/>
                <w:sz w:val="28"/>
                <w:szCs w:val="28"/>
                <w:lang w:val="en-US" w:eastAsia="zh-CN"/>
              </w:rPr>
              <w:t>标定地价评估用途</w:t>
            </w:r>
          </w:p>
        </w:tc>
        <w:tc>
          <w:tcPr>
            <w:tcW w:w="2116"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ascii="仿宋_GB2312" w:cs="宋体"/>
                <w:b/>
                <w:bCs/>
                <w:sz w:val="28"/>
                <w:szCs w:val="28"/>
                <w:lang w:val="en-US"/>
              </w:rPr>
            </w:pPr>
            <w:r>
              <w:rPr>
                <w:rFonts w:hint="eastAsia" w:ascii="仿宋_GB2312" w:cs="宋体"/>
                <w:b/>
                <w:bCs/>
                <w:sz w:val="28"/>
                <w:szCs w:val="28"/>
                <w:lang w:val="en-US" w:eastAsia="zh-CN"/>
              </w:rPr>
              <w:t>一级类</w:t>
            </w:r>
          </w:p>
        </w:tc>
        <w:tc>
          <w:tcPr>
            <w:tcW w:w="413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ascii="仿宋_GB2312" w:cs="宋体"/>
                <w:b/>
                <w:bCs/>
                <w:sz w:val="28"/>
                <w:szCs w:val="28"/>
                <w:lang w:val="en-US"/>
              </w:rPr>
            </w:pPr>
            <w:r>
              <w:rPr>
                <w:rFonts w:hint="eastAsia" w:ascii="仿宋_GB2312" w:cs="宋体"/>
                <w:b/>
                <w:bCs/>
                <w:sz w:val="28"/>
                <w:szCs w:val="28"/>
                <w:lang w:val="en-US" w:eastAsia="zh-CN"/>
              </w:rPr>
              <w:t>二级类</w:t>
            </w:r>
          </w:p>
        </w:tc>
      </w:tr>
      <w:tr>
        <w:tblPrEx>
          <w:tblLayout w:type="fixed"/>
          <w:tblCellMar>
            <w:top w:w="0" w:type="dxa"/>
            <w:left w:w="108" w:type="dxa"/>
            <w:bottom w:w="0" w:type="dxa"/>
            <w:right w:w="108" w:type="dxa"/>
          </w:tblCellMar>
        </w:tblPrEx>
        <w:trPr>
          <w:cantSplit/>
          <w:trHeight w:val="397" w:hRule="atLeast"/>
        </w:trPr>
        <w:tc>
          <w:tcPr>
            <w:tcW w:w="24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eastAsia" w:ascii="仿宋_GB2312" w:cs="宋体"/>
                <w:b w:val="0"/>
                <w:bCs w:val="0"/>
                <w:sz w:val="28"/>
                <w:szCs w:val="28"/>
              </w:rPr>
            </w:pPr>
            <w:r>
              <w:rPr>
                <w:rFonts w:hint="eastAsia" w:ascii="仿宋_GB2312" w:cs="宋体"/>
                <w:b w:val="0"/>
                <w:bCs w:val="0"/>
                <w:sz w:val="28"/>
                <w:szCs w:val="28"/>
                <w:lang w:val="en-US" w:eastAsia="zh-CN"/>
              </w:rPr>
              <w:t>商服用地</w:t>
            </w:r>
          </w:p>
        </w:tc>
        <w:tc>
          <w:tcPr>
            <w:tcW w:w="2116" w:type="dxa"/>
            <w:tcBorders>
              <w:top w:val="nil"/>
              <w:left w:val="nil"/>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eastAsia" w:ascii="仿宋_GB2312" w:cs="宋体"/>
                <w:b w:val="0"/>
                <w:bCs w:val="0"/>
                <w:sz w:val="28"/>
                <w:szCs w:val="28"/>
              </w:rPr>
            </w:pPr>
            <w:r>
              <w:rPr>
                <w:rFonts w:hint="eastAsia" w:ascii="仿宋_GB2312" w:cs="宋体"/>
                <w:b w:val="0"/>
                <w:bCs w:val="0"/>
                <w:sz w:val="28"/>
                <w:szCs w:val="28"/>
                <w:lang w:val="en-US" w:eastAsia="zh-CN"/>
              </w:rPr>
              <w:t>商服用地</w:t>
            </w:r>
          </w:p>
        </w:tc>
        <w:tc>
          <w:tcPr>
            <w:tcW w:w="4130" w:type="dxa"/>
            <w:tcBorders>
              <w:top w:val="nil"/>
              <w:left w:val="nil"/>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ascii="仿宋_GB2312" w:cs="宋体"/>
                <w:b w:val="0"/>
                <w:bCs w:val="0"/>
                <w:sz w:val="28"/>
                <w:szCs w:val="28"/>
                <w:lang w:val="zh-CN"/>
              </w:rPr>
            </w:pPr>
            <w:r>
              <w:rPr>
                <w:rFonts w:hint="eastAsia" w:ascii="仿宋_GB2312" w:cs="宋体"/>
                <w:b w:val="0"/>
                <w:bCs w:val="0"/>
                <w:sz w:val="28"/>
                <w:szCs w:val="28"/>
                <w:lang w:val="zh-CN"/>
              </w:rPr>
              <w:t>零售商业用地、商务金融用地、其他商服用地</w:t>
            </w:r>
          </w:p>
        </w:tc>
      </w:tr>
      <w:tr>
        <w:tblPrEx>
          <w:tblLayout w:type="fixed"/>
          <w:tblCellMar>
            <w:top w:w="0" w:type="dxa"/>
            <w:left w:w="108" w:type="dxa"/>
            <w:bottom w:w="0" w:type="dxa"/>
            <w:right w:w="108" w:type="dxa"/>
          </w:tblCellMar>
        </w:tblPrEx>
        <w:trPr>
          <w:cantSplit/>
          <w:trHeight w:val="397" w:hRule="atLeast"/>
        </w:trPr>
        <w:tc>
          <w:tcPr>
            <w:tcW w:w="24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eastAsia" w:ascii="仿宋_GB2312" w:cs="宋体"/>
                <w:b w:val="0"/>
                <w:bCs w:val="0"/>
                <w:sz w:val="28"/>
                <w:szCs w:val="28"/>
              </w:rPr>
            </w:pPr>
            <w:r>
              <w:rPr>
                <w:rFonts w:hint="eastAsia" w:ascii="仿宋_GB2312" w:cs="宋体"/>
                <w:b w:val="0"/>
                <w:bCs w:val="0"/>
                <w:sz w:val="28"/>
                <w:szCs w:val="28"/>
                <w:lang w:val="en-US" w:eastAsia="zh-CN"/>
              </w:rPr>
              <w:t>住宅用地</w:t>
            </w:r>
          </w:p>
        </w:tc>
        <w:tc>
          <w:tcPr>
            <w:tcW w:w="2116" w:type="dxa"/>
            <w:tcBorders>
              <w:top w:val="nil"/>
              <w:left w:val="nil"/>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eastAsia" w:ascii="仿宋_GB2312" w:cs="宋体"/>
                <w:b w:val="0"/>
                <w:bCs w:val="0"/>
                <w:sz w:val="28"/>
                <w:szCs w:val="28"/>
              </w:rPr>
            </w:pPr>
            <w:r>
              <w:rPr>
                <w:rFonts w:hint="eastAsia" w:ascii="仿宋_GB2312" w:cs="宋体"/>
                <w:b w:val="0"/>
                <w:bCs w:val="0"/>
                <w:sz w:val="28"/>
                <w:szCs w:val="28"/>
                <w:lang w:val="en-US" w:eastAsia="zh-CN"/>
              </w:rPr>
              <w:t>住宅用地</w:t>
            </w:r>
          </w:p>
        </w:tc>
        <w:tc>
          <w:tcPr>
            <w:tcW w:w="4130" w:type="dxa"/>
            <w:tcBorders>
              <w:top w:val="nil"/>
              <w:left w:val="nil"/>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ascii="仿宋_GB2312" w:cs="宋体"/>
                <w:b w:val="0"/>
                <w:bCs w:val="0"/>
                <w:sz w:val="28"/>
                <w:szCs w:val="28"/>
                <w:lang w:val="zh-CN"/>
              </w:rPr>
            </w:pPr>
            <w:r>
              <w:rPr>
                <w:rFonts w:hint="eastAsia" w:ascii="仿宋_GB2312" w:cs="宋体"/>
                <w:b w:val="0"/>
                <w:bCs w:val="0"/>
                <w:sz w:val="28"/>
                <w:szCs w:val="28"/>
                <w:lang w:val="zh-CN"/>
              </w:rPr>
              <w:t>城镇住宅用地</w:t>
            </w:r>
          </w:p>
        </w:tc>
      </w:tr>
      <w:tr>
        <w:tblPrEx>
          <w:tblLayout w:type="fixed"/>
          <w:tblCellMar>
            <w:top w:w="0" w:type="dxa"/>
            <w:left w:w="108" w:type="dxa"/>
            <w:bottom w:w="0" w:type="dxa"/>
            <w:right w:w="108" w:type="dxa"/>
          </w:tblCellMar>
        </w:tblPrEx>
        <w:trPr>
          <w:cantSplit/>
          <w:trHeight w:val="397" w:hRule="atLeast"/>
        </w:trPr>
        <w:tc>
          <w:tcPr>
            <w:tcW w:w="2474" w:type="dxa"/>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eastAsia" w:ascii="仿宋_GB2312" w:cs="宋体"/>
                <w:b w:val="0"/>
                <w:bCs w:val="0"/>
                <w:sz w:val="28"/>
                <w:szCs w:val="28"/>
                <w:lang w:val="en-US"/>
              </w:rPr>
            </w:pPr>
            <w:r>
              <w:rPr>
                <w:rFonts w:hint="eastAsia" w:ascii="仿宋_GB2312" w:cs="宋体"/>
                <w:b w:val="0"/>
                <w:bCs w:val="0"/>
                <w:sz w:val="28"/>
                <w:szCs w:val="28"/>
                <w:lang w:val="en-US" w:eastAsia="zh-CN"/>
              </w:rPr>
              <w:t>商住混合用地</w:t>
            </w:r>
          </w:p>
        </w:tc>
        <w:tc>
          <w:tcPr>
            <w:tcW w:w="2116" w:type="dxa"/>
            <w:tcBorders>
              <w:top w:val="nil"/>
              <w:left w:val="nil"/>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eastAsia" w:ascii="仿宋_GB2312" w:cs="宋体"/>
                <w:b w:val="0"/>
                <w:bCs w:val="0"/>
                <w:sz w:val="28"/>
                <w:szCs w:val="28"/>
              </w:rPr>
            </w:pPr>
            <w:r>
              <w:rPr>
                <w:rFonts w:hint="eastAsia" w:ascii="仿宋_GB2312" w:cs="宋体"/>
                <w:b w:val="0"/>
                <w:bCs w:val="0"/>
                <w:sz w:val="28"/>
                <w:szCs w:val="28"/>
                <w:lang w:val="en-US" w:eastAsia="zh-CN"/>
              </w:rPr>
              <w:t>商服用地、住宅用地</w:t>
            </w:r>
          </w:p>
        </w:tc>
        <w:tc>
          <w:tcPr>
            <w:tcW w:w="4130" w:type="dxa"/>
            <w:tcBorders>
              <w:top w:val="nil"/>
              <w:left w:val="nil"/>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ascii="仿宋_GB2312" w:cs="宋体"/>
                <w:b w:val="0"/>
                <w:bCs w:val="0"/>
                <w:sz w:val="28"/>
                <w:szCs w:val="28"/>
                <w:lang w:val="zh-CN"/>
              </w:rPr>
            </w:pPr>
            <w:r>
              <w:rPr>
                <w:rFonts w:hint="eastAsia" w:ascii="仿宋_GB2312" w:cs="宋体"/>
                <w:b w:val="0"/>
                <w:bCs w:val="0"/>
                <w:sz w:val="28"/>
                <w:szCs w:val="28"/>
                <w:lang w:val="zh-CN"/>
              </w:rPr>
              <w:t>零售商业用地、商务金融用地、其他商服用地、城镇住宅用地</w:t>
            </w:r>
          </w:p>
        </w:tc>
      </w:tr>
      <w:tr>
        <w:tblPrEx>
          <w:tblLayout w:type="fixed"/>
          <w:tblCellMar>
            <w:top w:w="0" w:type="dxa"/>
            <w:left w:w="108" w:type="dxa"/>
            <w:bottom w:w="0" w:type="dxa"/>
            <w:right w:w="108" w:type="dxa"/>
          </w:tblCellMar>
        </w:tblPrEx>
        <w:trPr>
          <w:cantSplit/>
          <w:trHeight w:val="397" w:hRule="atLeast"/>
        </w:trPr>
        <w:tc>
          <w:tcPr>
            <w:tcW w:w="24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eastAsia" w:ascii="仿宋_GB2312" w:cs="宋体"/>
                <w:b w:val="0"/>
                <w:bCs w:val="0"/>
                <w:sz w:val="28"/>
                <w:szCs w:val="28"/>
              </w:rPr>
            </w:pPr>
            <w:r>
              <w:rPr>
                <w:rFonts w:hint="eastAsia" w:ascii="仿宋_GB2312" w:cs="宋体"/>
                <w:b w:val="0"/>
                <w:bCs w:val="0"/>
                <w:sz w:val="28"/>
                <w:szCs w:val="28"/>
                <w:lang w:val="en-US" w:eastAsia="zh-CN"/>
              </w:rPr>
              <w:t>工业用地</w:t>
            </w:r>
          </w:p>
        </w:tc>
        <w:tc>
          <w:tcPr>
            <w:tcW w:w="2116" w:type="dxa"/>
            <w:tcBorders>
              <w:top w:val="nil"/>
              <w:left w:val="nil"/>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eastAsia" w:ascii="仿宋_GB2312" w:cs="宋体"/>
                <w:b w:val="0"/>
                <w:bCs w:val="0"/>
                <w:sz w:val="28"/>
                <w:szCs w:val="28"/>
              </w:rPr>
            </w:pPr>
            <w:r>
              <w:rPr>
                <w:rFonts w:hint="eastAsia" w:ascii="仿宋_GB2312" w:cs="宋体"/>
                <w:b w:val="0"/>
                <w:bCs w:val="0"/>
                <w:sz w:val="28"/>
                <w:szCs w:val="28"/>
                <w:lang w:val="en-US" w:eastAsia="zh-CN"/>
              </w:rPr>
              <w:t>工矿仓储用地</w:t>
            </w:r>
          </w:p>
        </w:tc>
        <w:tc>
          <w:tcPr>
            <w:tcW w:w="4130" w:type="dxa"/>
            <w:tcBorders>
              <w:top w:val="nil"/>
              <w:left w:val="nil"/>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ascii="仿宋_GB2312" w:cs="宋体"/>
                <w:b w:val="0"/>
                <w:bCs w:val="0"/>
                <w:sz w:val="28"/>
                <w:szCs w:val="28"/>
                <w:lang w:val="zh-CN"/>
              </w:rPr>
            </w:pPr>
            <w:r>
              <w:rPr>
                <w:rFonts w:hint="eastAsia" w:ascii="仿宋_GB2312" w:cs="宋体"/>
                <w:b w:val="0"/>
                <w:bCs w:val="0"/>
                <w:sz w:val="28"/>
                <w:szCs w:val="28"/>
                <w:lang w:val="zh-CN"/>
              </w:rPr>
              <w:t>工业用地、仓储用地</w:t>
            </w:r>
          </w:p>
        </w:tc>
      </w:tr>
    </w:tbl>
    <w:p>
      <w:pPr>
        <w:keepNext w:val="0"/>
        <w:keepLines w:val="0"/>
        <w:pageBreakBefore w:val="0"/>
        <w:widowControl w:val="0"/>
        <w:kinsoku/>
        <w:wordWrap/>
        <w:overflowPunct/>
        <w:topLinePunct w:val="0"/>
        <w:autoSpaceDE/>
        <w:autoSpaceDN/>
        <w:bidi w:val="0"/>
        <w:adjustRightInd w:val="0"/>
        <w:snapToGrid w:val="0"/>
        <w:spacing w:before="79" w:beforeLines="25" w:after="79" w:afterLines="25" w:line="300" w:lineRule="auto"/>
        <w:ind w:firstLine="640" w:firstLineChars="200"/>
        <w:textAlignment w:val="auto"/>
        <w:rPr>
          <w:rFonts w:ascii="仿宋_GB2312"/>
        </w:rPr>
      </w:pPr>
      <w:r>
        <w:rPr>
          <w:rFonts w:hint="eastAsia" w:ascii="仿宋_GB2312"/>
        </w:rPr>
        <w:t>五、标定地价将标定区域、标准宗地和公示信息表予以公布。</w:t>
      </w:r>
    </w:p>
    <w:p>
      <w:pPr>
        <w:keepNext w:val="0"/>
        <w:keepLines w:val="0"/>
        <w:pageBreakBefore w:val="0"/>
        <w:widowControl w:val="0"/>
        <w:kinsoku/>
        <w:wordWrap/>
        <w:overflowPunct/>
        <w:topLinePunct w:val="0"/>
        <w:autoSpaceDE/>
        <w:autoSpaceDN/>
        <w:bidi w:val="0"/>
        <w:adjustRightInd w:val="0"/>
        <w:snapToGrid w:val="0"/>
        <w:spacing w:before="79" w:beforeLines="25" w:after="79" w:afterLines="25" w:line="300" w:lineRule="auto"/>
        <w:ind w:firstLine="640" w:firstLineChars="200"/>
        <w:textAlignment w:val="auto"/>
        <w:rPr>
          <w:rFonts w:ascii="仿宋_GB2312"/>
        </w:rPr>
      </w:pPr>
      <w:r>
        <w:rPr>
          <w:rFonts w:hint="eastAsia" w:ascii="仿宋_GB2312"/>
        </w:rPr>
        <w:t>六、</w:t>
      </w:r>
      <w:r>
        <w:rPr>
          <w:rFonts w:hint="eastAsia" w:ascii="仿宋_GB2312"/>
          <w:lang w:eastAsia="zh-CN"/>
        </w:rPr>
        <w:t>汕头市自然资源局澄海分局</w:t>
      </w:r>
      <w:r>
        <w:rPr>
          <w:rFonts w:hint="eastAsia" w:ascii="仿宋_GB2312"/>
        </w:rPr>
        <w:t>将根据土地市场的变化情况对标定地价进行更新修订，经</w:t>
      </w:r>
      <w:r>
        <w:rPr>
          <w:rFonts w:hint="eastAsia" w:ascii="仿宋_GB2312"/>
          <w:lang w:eastAsia="zh-CN"/>
        </w:rPr>
        <w:t>区</w:t>
      </w:r>
      <w:r>
        <w:rPr>
          <w:rFonts w:hint="eastAsia" w:ascii="仿宋_GB2312"/>
        </w:rPr>
        <w:t>政府批准后，对外公布实施。</w:t>
      </w:r>
    </w:p>
    <w:p>
      <w:pPr>
        <w:rPr>
          <w:rFonts w:ascii="仿宋_GB2312"/>
        </w:rPr>
      </w:pPr>
    </w:p>
    <w:sectPr>
      <w:headerReference r:id="rId3" w:type="default"/>
      <w:footerReference r:id="rId4" w:type="default"/>
      <w:pgSz w:w="11906" w:h="16838"/>
      <w:pgMar w:top="1588" w:right="1701" w:bottom="158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swiss"/>
    <w:pitch w:val="default"/>
    <w:sig w:usb0="00007A87" w:usb1="80000000" w:usb2="00000008" w:usb3="00000000" w:csb0="400001FF" w:csb1="FFFF0000"/>
  </w:font>
  <w:font w:name="Symbol">
    <w:altName w:val="Bookshelf Symbol 7"/>
    <w:panose1 w:val="05050102010706020507"/>
    <w:charset w:val="02"/>
    <w:family w:val="modern"/>
    <w:pitch w:val="default"/>
    <w:sig w:usb0="00000000" w:usb1="00000000" w:usb2="00000000" w:usb3="00000000" w:csb0="80000000" w:csb1="00000000"/>
  </w:font>
  <w:font w:name="Arial Rounded MT Bold">
    <w:panose1 w:val="020F0704030504030204"/>
    <w:charset w:val="00"/>
    <w:family w:val="auto"/>
    <w:pitch w:val="default"/>
    <w:sig w:usb0="00000003" w:usb1="00000000" w:usb2="00000000" w:usb3="00000000" w:csb0="20000001" w:csb1="00000000"/>
  </w:font>
  <w:font w:name="仿宋_GB2312">
    <w:panose1 w:val="02010609030101010101"/>
    <w:charset w:val="86"/>
    <w:family w:val="swiss"/>
    <w:pitch w:val="default"/>
    <w:sig w:usb0="00000001" w:usb1="080E0000" w:usb2="00000000" w:usb3="00000000" w:csb0="00040000" w:csb1="00000000"/>
  </w:font>
  <w:font w:name="Bookshelf Symbol 7">
    <w:panose1 w:val="05010101010101010101"/>
    <w:charset w:val="00"/>
    <w:family w:val="auto"/>
    <w:pitch w:val="default"/>
    <w:sig w:usb0="00000000" w:usb1="00000000" w:usb2="00000000" w:usb3="00000000" w:csb0="80000000" w:csb1="00000000"/>
  </w:font>
  <w:font w:name="黑体">
    <w:panose1 w:val="02010600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PAGE   \* MERGEFORMAT</w:instrText>
    </w:r>
    <w:r>
      <w:rPr>
        <w:rFonts w:ascii="Times New Roman" w:hAnsi="Times New Roman"/>
        <w:sz w:val="21"/>
        <w:szCs w:val="21"/>
      </w:rPr>
      <w:fldChar w:fldCharType="separate"/>
    </w:r>
    <w:r>
      <w:rPr>
        <w:rFonts w:ascii="Times New Roman" w:hAnsi="Times New Roman"/>
        <w:sz w:val="21"/>
        <w:szCs w:val="21"/>
        <w:lang w:val="zh-CN"/>
      </w:rPr>
      <w:t>1</w:t>
    </w:r>
    <w:r>
      <w:rPr>
        <w:rFonts w:ascii="Times New Roman" w:hAnsi="Times New Roman"/>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1E1"/>
    <w:rsid w:val="00027254"/>
    <w:rsid w:val="000748DD"/>
    <w:rsid w:val="000D2E3D"/>
    <w:rsid w:val="000E779C"/>
    <w:rsid w:val="00113D6F"/>
    <w:rsid w:val="00163E88"/>
    <w:rsid w:val="00172F24"/>
    <w:rsid w:val="001B0A5C"/>
    <w:rsid w:val="001B5301"/>
    <w:rsid w:val="001D0684"/>
    <w:rsid w:val="002519F0"/>
    <w:rsid w:val="002B14DE"/>
    <w:rsid w:val="003075C7"/>
    <w:rsid w:val="00340CF2"/>
    <w:rsid w:val="003938B2"/>
    <w:rsid w:val="003E064A"/>
    <w:rsid w:val="00415D26"/>
    <w:rsid w:val="00423CC4"/>
    <w:rsid w:val="005056DC"/>
    <w:rsid w:val="005247F9"/>
    <w:rsid w:val="00570BB4"/>
    <w:rsid w:val="00586955"/>
    <w:rsid w:val="005978C9"/>
    <w:rsid w:val="005A37F5"/>
    <w:rsid w:val="005D2947"/>
    <w:rsid w:val="005D661C"/>
    <w:rsid w:val="005F6A01"/>
    <w:rsid w:val="00612C31"/>
    <w:rsid w:val="006A3327"/>
    <w:rsid w:val="006A4B6A"/>
    <w:rsid w:val="006C31E7"/>
    <w:rsid w:val="006E14F8"/>
    <w:rsid w:val="006E520E"/>
    <w:rsid w:val="007238E4"/>
    <w:rsid w:val="007D16A1"/>
    <w:rsid w:val="007E23D9"/>
    <w:rsid w:val="00815F2E"/>
    <w:rsid w:val="008A207A"/>
    <w:rsid w:val="008F24AA"/>
    <w:rsid w:val="00924992"/>
    <w:rsid w:val="00962E08"/>
    <w:rsid w:val="00AD5144"/>
    <w:rsid w:val="00AF79F5"/>
    <w:rsid w:val="00BA14C7"/>
    <w:rsid w:val="00BC7E96"/>
    <w:rsid w:val="00BD0357"/>
    <w:rsid w:val="00BF2ECE"/>
    <w:rsid w:val="00C003C4"/>
    <w:rsid w:val="00C156D1"/>
    <w:rsid w:val="00C607F5"/>
    <w:rsid w:val="00C671E1"/>
    <w:rsid w:val="00C85521"/>
    <w:rsid w:val="00C9365E"/>
    <w:rsid w:val="00CE13F8"/>
    <w:rsid w:val="00D14945"/>
    <w:rsid w:val="00DC1C88"/>
    <w:rsid w:val="00DD1488"/>
    <w:rsid w:val="00E20832"/>
    <w:rsid w:val="00E22FC7"/>
    <w:rsid w:val="00E3001A"/>
    <w:rsid w:val="00F34110"/>
    <w:rsid w:val="00F82D31"/>
    <w:rsid w:val="00FA6455"/>
    <w:rsid w:val="39581D09"/>
    <w:rsid w:val="505E79A2"/>
    <w:rsid w:val="6FD16A35"/>
    <w:rsid w:val="7EA8539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unhideWhenUsed/>
    <w:qFormat/>
    <w:uiPriority w:val="1"/>
  </w:style>
  <w:style w:type="table" w:default="1" w:styleId="10">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annotation subject"/>
    <w:basedOn w:val="3"/>
    <w:next w:val="3"/>
    <w:link w:val="17"/>
    <w:unhideWhenUsed/>
    <w:qFormat/>
    <w:uiPriority w:val="99"/>
    <w:rPr>
      <w:b/>
      <w:bCs/>
    </w:rPr>
  </w:style>
  <w:style w:type="paragraph" w:styleId="3">
    <w:name w:val="annotation text"/>
    <w:basedOn w:val="1"/>
    <w:link w:val="16"/>
    <w:unhideWhenUsed/>
    <w:qFormat/>
    <w:uiPriority w:val="99"/>
    <w:pPr>
      <w:jc w:val="left"/>
    </w:pPr>
  </w:style>
  <w:style w:type="paragraph" w:styleId="4">
    <w:name w:val="Balloon Text"/>
    <w:basedOn w:val="1"/>
    <w:link w:val="18"/>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keepNext w:val="0"/>
      <w:keepLines w:val="0"/>
      <w:widowControl/>
      <w:suppressLineNumbers w:val="0"/>
      <w:spacing w:before="0" w:beforeAutospacing="1" w:after="0" w:afterAutospacing="1" w:line="240" w:lineRule="auto"/>
      <w:ind w:left="0" w:right="0" w:firstLine="0" w:firstLineChars="0"/>
      <w:jc w:val="left"/>
    </w:pPr>
    <w:rPr>
      <w:rFonts w:hint="eastAsia" w:ascii="宋体" w:hAnsi="宋体" w:eastAsia="宋体" w:cs="宋体"/>
      <w:spacing w:val="0"/>
      <w:kern w:val="0"/>
      <w:sz w:val="24"/>
      <w:szCs w:val="24"/>
      <w:lang w:val="en-US" w:eastAsia="zh-CN" w:bidi="ar"/>
    </w:rPr>
  </w:style>
  <w:style w:type="character" w:styleId="9">
    <w:name w:val="annotation reference"/>
    <w:basedOn w:val="8"/>
    <w:unhideWhenUsed/>
    <w:qFormat/>
    <w:uiPriority w:val="99"/>
    <w:rPr>
      <w:sz w:val="21"/>
      <w:szCs w:val="21"/>
    </w:rPr>
  </w:style>
  <w:style w:type="character" w:customStyle="1" w:styleId="11">
    <w:name w:val="页脚 Char"/>
    <w:basedOn w:val="8"/>
    <w:link w:val="5"/>
    <w:qFormat/>
    <w:uiPriority w:val="99"/>
    <w:rPr>
      <w:sz w:val="18"/>
      <w:szCs w:val="18"/>
    </w:rPr>
  </w:style>
  <w:style w:type="paragraph" w:customStyle="1" w:styleId="12">
    <w:name w:val="00-正文"/>
    <w:link w:val="14"/>
    <w:qFormat/>
    <w:uiPriority w:val="0"/>
    <w:pPr>
      <w:widowControl w:val="0"/>
      <w:spacing w:line="560" w:lineRule="exact"/>
      <w:ind w:firstLine="200" w:firstLineChars="200"/>
      <w:jc w:val="both"/>
      <w:textAlignment w:val="center"/>
    </w:pPr>
    <w:rPr>
      <w:rFonts w:ascii="Times New Roman" w:hAnsi="Times New Roman" w:eastAsia="仿宋_GB2312" w:cs="Times New Roman"/>
      <w:kern w:val="0"/>
      <w:sz w:val="28"/>
      <w:szCs w:val="22"/>
      <w:lang w:val="zh-CN" w:eastAsia="zh-CN" w:bidi="ar-SA"/>
    </w:rPr>
  </w:style>
  <w:style w:type="paragraph" w:customStyle="1" w:styleId="13">
    <w:name w:val="List Paragraph"/>
    <w:basedOn w:val="1"/>
    <w:qFormat/>
    <w:uiPriority w:val="99"/>
    <w:pPr>
      <w:ind w:firstLine="420" w:firstLineChars="200"/>
    </w:pPr>
  </w:style>
  <w:style w:type="character" w:customStyle="1" w:styleId="14">
    <w:name w:val="00-正文 Char"/>
    <w:link w:val="12"/>
    <w:qFormat/>
    <w:uiPriority w:val="0"/>
    <w:rPr>
      <w:rFonts w:ascii="Times New Roman" w:hAnsi="Times New Roman" w:eastAsia="仿宋_GB2312" w:cs="Times New Roman"/>
      <w:kern w:val="0"/>
      <w:sz w:val="28"/>
      <w:lang w:val="zh-CN"/>
    </w:rPr>
  </w:style>
  <w:style w:type="character" w:customStyle="1" w:styleId="15">
    <w:name w:val="页眉 Char"/>
    <w:basedOn w:val="8"/>
    <w:link w:val="6"/>
    <w:qFormat/>
    <w:uiPriority w:val="99"/>
    <w:rPr>
      <w:rFonts w:ascii="Times New Roman" w:hAnsi="Times New Roman" w:eastAsia="仿宋_GB2312" w:cs="Times New Roman"/>
      <w:sz w:val="18"/>
      <w:szCs w:val="18"/>
    </w:rPr>
  </w:style>
  <w:style w:type="character" w:customStyle="1" w:styleId="16">
    <w:name w:val="批注文字 Char"/>
    <w:basedOn w:val="8"/>
    <w:link w:val="3"/>
    <w:semiHidden/>
    <w:qFormat/>
    <w:uiPriority w:val="99"/>
    <w:rPr>
      <w:rFonts w:ascii="Times New Roman" w:hAnsi="Times New Roman" w:eastAsia="仿宋_GB2312" w:cs="Times New Roman"/>
      <w:sz w:val="32"/>
      <w:szCs w:val="32"/>
    </w:rPr>
  </w:style>
  <w:style w:type="character" w:customStyle="1" w:styleId="17">
    <w:name w:val="批注主题 Char"/>
    <w:basedOn w:val="16"/>
    <w:link w:val="2"/>
    <w:semiHidden/>
    <w:qFormat/>
    <w:uiPriority w:val="99"/>
    <w:rPr>
      <w:rFonts w:ascii="Times New Roman" w:hAnsi="Times New Roman" w:eastAsia="仿宋_GB2312" w:cs="Times New Roman"/>
      <w:b/>
      <w:bCs/>
      <w:sz w:val="32"/>
      <w:szCs w:val="32"/>
    </w:rPr>
  </w:style>
  <w:style w:type="character" w:customStyle="1" w:styleId="18">
    <w:name w:val="批注框文本 Char"/>
    <w:basedOn w:val="8"/>
    <w:link w:val="4"/>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7A1135-9191-4BC9-ABEA-3C9DF7C0C414}">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142</Words>
  <Characters>813</Characters>
  <Lines>6</Lines>
  <Paragraphs>1</Paragraphs>
  <TotalTime>0</TotalTime>
  <ScaleCrop>false</ScaleCrop>
  <LinksUpToDate>false</LinksUpToDate>
  <CharactersWithSpaces>954</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2020-08-02T09:15:00Z</dcterms:created>
  <dc:creator>微软用户</dc:creator>
  <cp:lastModifiedBy>Administrator</cp:lastModifiedBy>
  <cp:lastPrinted>2021-03-04T00:14:23Z</cp:lastPrinted>
  <dcterms:modified xsi:type="dcterms:W3CDTF">2021-03-04T00:14:44Z</dcterms:modified>
  <dc:title>附件1</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