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>
      <w:pPr>
        <w:pStyle w:val="5"/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>
      <w:pPr>
        <w:pStyle w:val="5"/>
        <w:rPr>
          <w:rFonts w:hint="eastAsia"/>
        </w:rPr>
      </w:pPr>
      <w:r>
        <w:rPr>
          <w:rFonts w:hint="eastAsia"/>
        </w:rPr>
        <w:t>澄海区省</w:t>
      </w:r>
      <w:r>
        <w:rPr>
          <w:rFonts w:hint="eastAsia"/>
          <w:lang w:eastAsia="zh-CN"/>
        </w:rPr>
        <w:t>、市</w:t>
      </w:r>
      <w:r>
        <w:rPr>
          <w:rFonts w:hint="eastAsia"/>
        </w:rPr>
        <w:t>级现代农业产业园联农带农项目收益分红资金使用管理制度</w:t>
      </w:r>
    </w:p>
    <w:p>
      <w:pPr>
        <w:widowControl w:val="0"/>
        <w:adjustRightInd/>
        <w:snapToGrid/>
        <w:spacing w:line="578" w:lineRule="exact"/>
        <w:ind w:firstLine="0" w:firstLineChars="0"/>
        <w:jc w:val="center"/>
        <w:rPr>
          <w:rFonts w:eastAsia="仿宋_GB2312" w:cs="Times New Roman"/>
          <w:color w:val="444444"/>
          <w:szCs w:val="32"/>
        </w:rPr>
      </w:pPr>
      <w:r>
        <w:rPr>
          <w:rFonts w:hint="eastAsia" w:ascii="楷体" w:hAnsi="楷体" w:eastAsia="楷体" w:cs="楷体"/>
          <w:szCs w:val="32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>
      <w:pPr>
        <w:ind w:firstLine="632"/>
        <w:rPr>
          <w:rFonts w:hint="eastAsia"/>
          <w:b/>
          <w:bCs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/>
        </w:rPr>
        <w:t>为规范</w:t>
      </w:r>
      <w:r>
        <w:rPr>
          <w:rFonts w:hint="eastAsia"/>
          <w:lang w:eastAsia="zh-CN"/>
        </w:rPr>
        <w:t>澄海区省、市级现代农业产业园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（以下简称“产业园”）</w:t>
      </w:r>
      <w:r>
        <w:rPr>
          <w:rFonts w:hint="eastAsia"/>
        </w:rPr>
        <w:t>联农带农项目收益分红资金的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管理、分配与使用</w:t>
      </w:r>
      <w:r>
        <w:rPr>
          <w:rFonts w:hint="eastAsia"/>
        </w:rPr>
        <w:t>，充分发挥现代农业产业园联农带农效益，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确保资金安全、效益可持续、农民可受益，</w:t>
      </w:r>
      <w:r>
        <w:rPr>
          <w:rFonts w:hint="eastAsia"/>
        </w:rPr>
        <w:t>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第二条  收益来源。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本制度所称项目收益资金，是指项目实施主体按照联农带农协议书约定向</w:t>
      </w:r>
      <w:r>
        <w:rPr>
          <w:rFonts w:hint="eastAsia"/>
          <w:lang w:eastAsia="zh-CN"/>
        </w:rPr>
        <w:t>各镇（街道）或</w:t>
      </w:r>
      <w:r>
        <w:rPr>
          <w:rFonts w:hint="eastAsia"/>
        </w:rPr>
        <w:t>村集体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支付的联农带农项目收益分红资金。</w:t>
      </w:r>
    </w:p>
    <w:p>
      <w:pPr>
        <w:ind w:firstLine="632"/>
        <w:rPr>
          <w:rFonts w:hint="eastAsia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第三条  收益资金使用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范围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eastAsia"/>
          <w:lang w:eastAsia="zh-CN"/>
        </w:rPr>
        <w:t>各镇（街道）或</w:t>
      </w:r>
      <w:r>
        <w:rPr>
          <w:rFonts w:hint="eastAsia"/>
        </w:rPr>
        <w:t>村集体</w:t>
      </w:r>
      <w:r>
        <w:t>所得</w:t>
      </w:r>
      <w:r>
        <w:rPr>
          <w:rFonts w:hint="eastAsia"/>
          <w:lang w:eastAsia="zh-CN"/>
        </w:rPr>
        <w:t>的项目收益资金</w:t>
      </w:r>
      <w:r>
        <w:t>应全部用于</w:t>
      </w:r>
      <w:r>
        <w:rPr>
          <w:rFonts w:hint="eastAsia"/>
        </w:rPr>
        <w:t>乡村振兴项目建设、产业化项目建设、村其他集体公益项目</w:t>
      </w:r>
      <w:r>
        <w:rPr>
          <w:rFonts w:hint="eastAsia"/>
          <w:lang w:eastAsia="zh-CN"/>
        </w:rPr>
        <w:t>或</w:t>
      </w:r>
      <w:r>
        <w:t>帮扶园区</w:t>
      </w:r>
      <w:r>
        <w:rPr>
          <w:rFonts w:hint="eastAsia"/>
          <w:lang w:eastAsia="zh-CN"/>
        </w:rPr>
        <w:t>从事产业园主导产业的养殖</w:t>
      </w:r>
      <w:r>
        <w:rPr>
          <w:rFonts w:hint="eastAsia" w:ascii="国标仿宋" w:hAnsi="国标仿宋" w:eastAsia="国标仿宋" w:cs="国标仿宋"/>
          <w:lang w:val="en-US" w:eastAsia="zh-CN"/>
        </w:rPr>
        <w:t>/</w:t>
      </w:r>
      <w:r>
        <w:rPr>
          <w:rFonts w:hint="eastAsia"/>
          <w:lang w:val="en-US" w:eastAsia="zh-CN"/>
        </w:rPr>
        <w:t>种植户、</w:t>
      </w:r>
      <w:r>
        <w:t>脱贫不稳定户、边缘易致贫户和农村低收入群体</w:t>
      </w:r>
      <w:r>
        <w:rPr>
          <w:rFonts w:hint="eastAsia"/>
        </w:rPr>
        <w:t>。</w:t>
      </w:r>
      <w:r>
        <w:rPr>
          <w:rFonts w:hint="eastAsia"/>
          <w:lang w:eastAsia="zh-CN"/>
        </w:rPr>
        <w:t>资金</w:t>
      </w:r>
      <w:r>
        <w:rPr>
          <w:rFonts w:hint="eastAsia"/>
        </w:rPr>
        <w:t>使用范围如下</w:t>
      </w:r>
      <w:r>
        <w:rPr>
          <w:rFonts w:hint="eastAsia"/>
          <w:lang w:eastAsia="zh-CN"/>
        </w:rPr>
        <w:t>（具体使用范围需按联农带农协议书规定）</w:t>
      </w:r>
      <w:r>
        <w:rPr>
          <w:rFonts w:hint="eastAsia"/>
        </w:rPr>
        <w:t>：</w:t>
      </w:r>
    </w:p>
    <w:p>
      <w:pPr>
        <w:ind w:firstLine="632"/>
        <w:rPr>
          <w:color w:val="FF0000"/>
        </w:rPr>
      </w:pPr>
      <w:r>
        <w:rPr>
          <w:rFonts w:hint="eastAsia"/>
        </w:rPr>
        <w:t>（一）乡村振兴项目建设：可用于农村人居环境整治、乡村风貌提升、农村基础设施建设、农田水利基础设施建设、乡风文明建设等乡村振兴项目建设。</w:t>
      </w:r>
    </w:p>
    <w:p>
      <w:pPr>
        <w:widowControl w:val="0"/>
        <w:ind w:firstLine="632"/>
      </w:pPr>
      <w:r>
        <w:rPr>
          <w:rFonts w:hint="eastAsia"/>
        </w:rPr>
        <w:t>（二）产业化项目建设：建设</w:t>
      </w:r>
      <w:r>
        <w:rPr>
          <w:rFonts w:hint="eastAsia"/>
          <w:lang w:eastAsia="zh-CN"/>
        </w:rPr>
        <w:t>产业园主导</w:t>
      </w:r>
      <w:r>
        <w:rPr>
          <w:rFonts w:hint="eastAsia"/>
        </w:rPr>
        <w:t>产业相关项目，包括新建（扩建、升级改造）厂房、购置加工设备、建设种植</w:t>
      </w:r>
      <w:r>
        <w:rPr>
          <w:rFonts w:hint="eastAsia" w:ascii="国标仿宋" w:hAnsi="国标仿宋" w:eastAsia="国标仿宋" w:cs="国标仿宋"/>
          <w:lang w:val="en-US" w:eastAsia="zh-CN"/>
        </w:rPr>
        <w:t>/</w:t>
      </w:r>
      <w:r>
        <w:rPr>
          <w:rFonts w:hint="eastAsia"/>
          <w:lang w:val="en-US" w:eastAsia="zh-CN"/>
        </w:rPr>
        <w:t>养殖</w:t>
      </w:r>
      <w:r>
        <w:rPr>
          <w:rFonts w:hint="eastAsia"/>
        </w:rPr>
        <w:t>基地、完善乡村电子商务和快递物流配送体系、促进休闲农业与乡村旅游融合发展等。</w:t>
      </w:r>
    </w:p>
    <w:p>
      <w:pPr>
        <w:widowControl w:val="0"/>
        <w:ind w:firstLine="632"/>
        <w:rPr>
          <w:rFonts w:hint="eastAsia"/>
        </w:rPr>
      </w:pPr>
      <w:r>
        <w:rPr>
          <w:rFonts w:hint="eastAsia"/>
        </w:rPr>
        <w:t>（三）其他公益项目：不以盈利为目的，涉及农民生产生活切身利益需求的农村公益项目，如道路、</w:t>
      </w:r>
      <w:r>
        <w:rPr>
          <w:rFonts w:hint="eastAsia"/>
          <w:lang w:eastAsia="zh-CN"/>
        </w:rPr>
        <w:t>水利设施、环保</w:t>
      </w:r>
      <w:r>
        <w:rPr>
          <w:rFonts w:hint="eastAsia"/>
        </w:rPr>
        <w:t>设施、文化体育设施等。</w:t>
      </w:r>
    </w:p>
    <w:p>
      <w:pPr>
        <w:widowControl w:val="0"/>
        <w:ind w:firstLine="632"/>
      </w:pPr>
      <w:r>
        <w:rPr>
          <w:rFonts w:hint="eastAsia"/>
        </w:rPr>
        <w:t>（四）</w:t>
      </w:r>
      <w:r>
        <w:t>帮扶园区</w:t>
      </w:r>
      <w:r>
        <w:rPr>
          <w:rFonts w:hint="eastAsia"/>
          <w:lang w:eastAsia="zh-CN"/>
        </w:rPr>
        <w:t>从事产业园主导产业的养殖</w:t>
      </w:r>
      <w:r>
        <w:rPr>
          <w:rFonts w:hint="eastAsia" w:ascii="国标仿宋" w:hAnsi="国标仿宋" w:eastAsia="国标仿宋" w:cs="国标仿宋"/>
          <w:lang w:val="en-US" w:eastAsia="zh-CN"/>
        </w:rPr>
        <w:t>/</w:t>
      </w:r>
      <w:r>
        <w:rPr>
          <w:rFonts w:hint="eastAsia"/>
          <w:lang w:val="en-US" w:eastAsia="zh-CN"/>
        </w:rPr>
        <w:t>种植户、</w:t>
      </w:r>
      <w:r>
        <w:t>脱贫不稳定户、边缘易致贫户和农村低收入</w:t>
      </w:r>
      <w:r>
        <w:rPr>
          <w:rFonts w:hint="eastAsia"/>
        </w:rPr>
        <w:t>等</w:t>
      </w:r>
      <w:r>
        <w:t>群体</w:t>
      </w:r>
      <w:r>
        <w:rPr>
          <w:rFonts w:hint="eastAsia"/>
        </w:rPr>
        <w:t>，推动乡村创业创新人才培训。</w:t>
      </w:r>
    </w:p>
    <w:p>
      <w:pPr>
        <w:ind w:firstLine="63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>项目收益资金</w:t>
      </w:r>
      <w:r>
        <w:t>不得用于</w:t>
      </w:r>
      <w:r>
        <w:rPr>
          <w:rFonts w:hint="eastAsia"/>
          <w:lang w:eastAsia="zh-CN"/>
        </w:rPr>
        <w:t>各镇（街道）或</w:t>
      </w:r>
      <w:r>
        <w:rPr>
          <w:rFonts w:hint="eastAsia"/>
        </w:rPr>
        <w:t>村集体</w:t>
      </w:r>
      <w:r>
        <w:t>办公场所建设及修缮，不得用于基本支出</w:t>
      </w:r>
      <w:r>
        <w:rPr>
          <w:rFonts w:hint="eastAsia"/>
        </w:rPr>
        <w:t>（</w:t>
      </w:r>
      <w:r>
        <w:t>包括日常办公费用、购买交通工具、通讯设备、办公设备、职工薪酬、奖金津贴、福利补助、社会保险费用及临时人员劳务费用等</w:t>
      </w:r>
      <w:r>
        <w:rPr>
          <w:rFonts w:hint="eastAsia"/>
        </w:rPr>
        <w:t>）</w:t>
      </w:r>
      <w:r>
        <w:t>，不得用于虚假投资</w:t>
      </w:r>
      <w:r>
        <w:rPr>
          <w:rFonts w:hint="eastAsia"/>
        </w:rPr>
        <w:t>（</w:t>
      </w:r>
      <w:r>
        <w:t>入股</w:t>
      </w:r>
      <w:r>
        <w:rPr>
          <w:rFonts w:hint="eastAsia"/>
        </w:rPr>
        <w:t>）</w:t>
      </w:r>
      <w:r>
        <w:t>、虚假分红、发放借款、平衡预算及债务等，不得用于不符合国家产业政策的产业项目和国家法律、法规、规章等禁止的项目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条  收益资金分配程序。</w:t>
      </w:r>
      <w:r>
        <w:rPr>
          <w:rFonts w:hint="eastAsia"/>
          <w:lang w:eastAsia="zh-CN"/>
        </w:rPr>
        <w:t>各镇（街道）或</w:t>
      </w:r>
      <w:r>
        <w:rPr>
          <w:rFonts w:hint="eastAsia"/>
        </w:rPr>
        <w:t>村集体按照联农带农资金支持方向，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收益资金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分配方案，</w:t>
      </w:r>
      <w:r>
        <w:rPr>
          <w:rFonts w:hint="eastAsia"/>
        </w:rPr>
        <w:t>通过履行民主程序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审核联农带农资金合理合法合规支出</w:t>
      </w:r>
      <w:r>
        <w:rPr>
          <w:rFonts w:hint="eastAsia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分配方案需明确资金用途、受益对象及金额。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条  公开公正。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收益资金实行专账管理、专人负责、专款专用，确保资金安全。坚持公平、公正、公开，资产收益分配和使用等情况全程公示，收益分配使用结果至少每年公示公告一次，公示时间不少于7个工作日，接受群众和社会监督，并主动接受检查和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条  档案管理。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建立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项目收益资金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分配使用管理台账，将相关文件、会议记录、资产收益分配方案、公示资料等收集整理归档，做到档案齐全规范完整、可备查、可追溯。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eastAsia="楷体_GB2312" w:cs="楷体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条  明确责任分工。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产业园建设领导小组办公室要指导镇、村两级做好收益资金分配使用管理等相关工作；镇（街道）、村对资产收益资金的日常使用管理负主体责任，对资产收益资金的落实分配、管理等工作全面负责。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楷体_GB2312" w:cs="楷体_GB2312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条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本制度自印发之日起执行。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楷体_GB2312" w:cs="楷体_GB2312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本制度由产业园建设领导小组办公室负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5"/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474" w:bottom="1814" w:left="1588" w:header="709" w:footer="709" w:gutter="0"/>
      <w:cols w:space="708" w:num="1"/>
      <w:titlePg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5F4B33A-7DFB-4A5D-AF39-D43D9DA593E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1048D6-DFC8-481C-8BD1-9C1AC4CCE3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67EBAF-DAF1-4998-B9B0-9AB344A038F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6AF92C-30B7-4B83-AA9B-99A894B6A08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6215821-6A34-4AF8-833A-90FBCA1DD28D}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  <w:embedRegular r:id="rId6" w:fontKey="{A3B86F1C-9BCC-43B5-8333-CA54FB0E32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jc w:val="right"/>
    </w:pPr>
    <w:r>
      <w:rPr>
        <w:rFonts w:hint="eastAsia" w:ascii="宋体" w:hAnsi="宋体" w:eastAsia="宋体"/>
        <w:sz w:val="28"/>
      </w:rPr>
      <w:t>—</w:t>
    </w:r>
    <w:sdt>
      <w:sdtPr>
        <w:rPr>
          <w:rFonts w:ascii="宋体" w:hAnsi="宋体" w:eastAsia="宋体"/>
          <w:sz w:val="28"/>
        </w:rPr>
        <w:id w:val="14968131"/>
        <w:docPartObj>
          <w:docPartGallery w:val="autotext"/>
        </w:docPartObj>
      </w:sdtPr>
      <w:sdtEndPr>
        <w:rPr>
          <w:rFonts w:ascii="Times New Roman" w:hAnsi="Times New Roman" w:eastAsia="方正仿宋简体"/>
          <w:sz w:val="18"/>
        </w:rPr>
      </w:sdtEndPr>
      <w:sdtContent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3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hint="eastAsia" w:ascii="宋体" w:hAnsi="宋体" w:eastAsia="宋体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w:rPr>
        <w:rFonts w:hint="eastAsia" w:ascii="宋体" w:hAnsi="宋体" w:eastAsia="宋体"/>
        <w:sz w:val="28"/>
      </w:rPr>
      <w:t>—</w:t>
    </w:r>
    <w:sdt>
      <w:sdtPr>
        <w:rPr>
          <w:rFonts w:ascii="宋体" w:hAnsi="宋体" w:eastAsia="宋体"/>
          <w:sz w:val="28"/>
        </w:rPr>
        <w:id w:val="14968125"/>
        <w:docPartObj>
          <w:docPartGallery w:val="autotext"/>
        </w:docPartObj>
      </w:sdtPr>
      <w:sdtEndPr>
        <w:rPr>
          <w:rFonts w:ascii="Times New Roman" w:hAnsi="Times New Roman" w:eastAsia="方正仿宋简体"/>
          <w:sz w:val="18"/>
        </w:rPr>
      </w:sdtEndPr>
      <w:sdtContent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hint="eastAsia" w:ascii="宋体" w:hAnsi="宋体" w:eastAsia="宋体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32"/>
      </w:pPr>
      <w:r>
        <w:separator/>
      </w:r>
    </w:p>
  </w:footnote>
  <w:footnote w:type="continuationSeparator" w:id="1">
    <w:p>
      <w:pPr>
        <w:spacing w:before="0" w:after="0"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mY1YjA5ODM0NTcwMWI1MWQxYWM1NDIyNDY3MjUifQ=="/>
  </w:docVars>
  <w:rsids>
    <w:rsidRoot w:val="00000000"/>
    <w:rsid w:val="5522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3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0" w:line="590" w:lineRule="exact"/>
      <w:ind w:firstLine="200" w:firstLineChars="200"/>
      <w:jc w:val="both"/>
    </w:pPr>
    <w:rPr>
      <w:rFonts w:ascii="Times New Roman" w:hAnsi="Times New Roman" w:eastAsia="方正仿宋简体" w:cstheme="minorBidi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3"/>
    <w:pPr>
      <w:keepNext/>
      <w:keepLines/>
      <w:outlineLvl w:val="1"/>
    </w:pPr>
    <w:rPr>
      <w:rFonts w:eastAsia="楷体" w:cstheme="majorBidi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"/>
    <w:pPr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小虾米</cp:lastModifiedBy>
  <dcterms:modified xsi:type="dcterms:W3CDTF">2025-12-17T07:18:42Z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CF1DAB05A6454457AF6F9DA262125E59</vt:lpwstr>
  </property>
</Properties>
</file>