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r>
        <w:rPr>
          <w:rFonts w:hint="eastAsia"/>
        </w:rPr>
        <w:t>附件</w:t>
      </w:r>
      <w:r>
        <w:rPr>
          <w:rFonts w:hint="eastAsia"/>
          <w:lang w:val="en-US" w:eastAsia="zh-CN"/>
        </w:rPr>
        <w:t>1</w:t>
      </w:r>
      <w:r>
        <w:rPr>
          <w:rFonts w:hint="eastAsia"/>
        </w:rPr>
        <w:t>：</w:t>
      </w:r>
    </w:p>
    <w:p>
      <w:pPr>
        <w:wordWrap w:val="0"/>
        <w:spacing w:line="578" w:lineRule="exact"/>
        <w:ind w:firstLine="632"/>
        <w:jc w:val="right"/>
      </w:pPr>
    </w:p>
    <w:p>
      <w:pPr>
        <w:pStyle w:val="5"/>
        <w:jc w:val="center"/>
      </w:pPr>
      <w:r>
        <w:rPr>
          <w:rFonts w:hint="eastAsia"/>
        </w:rPr>
        <w:t>澄海区</w:t>
      </w:r>
      <w:r>
        <w:rPr>
          <w:rFonts w:hint="eastAsia"/>
          <w:lang w:eastAsia="zh-CN"/>
        </w:rPr>
        <w:t>省、市级</w:t>
      </w:r>
      <w:r>
        <w:rPr>
          <w:rFonts w:hint="eastAsia"/>
        </w:rPr>
        <w:t>现代农业产业园项目</w:t>
      </w:r>
    </w:p>
    <w:p>
      <w:pPr>
        <w:pStyle w:val="5"/>
        <w:jc w:val="center"/>
        <w:rPr>
          <w:sz w:val="32"/>
        </w:rPr>
      </w:pPr>
      <w:r>
        <w:rPr>
          <w:rFonts w:hint="eastAsia"/>
        </w:rPr>
        <w:t>资产后续管理制度</w:t>
      </w:r>
    </w:p>
    <w:p>
      <w:pPr>
        <w:widowControl w:val="0"/>
        <w:adjustRightInd/>
        <w:snapToGrid/>
        <w:spacing w:line="578" w:lineRule="exact"/>
        <w:ind w:firstLine="0" w:firstLineChars="0"/>
        <w:jc w:val="center"/>
        <w:rPr>
          <w:rFonts w:eastAsia="仿宋_GB2312" w:cs="Times New Roman"/>
          <w:color w:val="444444"/>
          <w:szCs w:val="32"/>
        </w:rPr>
      </w:pPr>
      <w:r>
        <w:rPr>
          <w:rFonts w:hint="eastAsia" w:ascii="楷体" w:hAnsi="楷体" w:eastAsia="楷体" w:cs="楷体"/>
          <w:szCs w:val="32"/>
        </w:rPr>
        <w:t>（征求意见稿）</w:t>
      </w:r>
    </w:p>
    <w:p>
      <w:pPr>
        <w:pStyle w:val="4"/>
        <w:spacing w:line="578" w:lineRule="exact"/>
        <w:ind w:firstLine="632"/>
      </w:pPr>
    </w:p>
    <w:p>
      <w:pPr>
        <w:pStyle w:val="3"/>
        <w:bidi w:val="0"/>
        <w:ind w:left="0" w:leftChars="0" w:firstLine="0" w:firstLineChars="0"/>
        <w:jc w:val="center"/>
        <w:rPr>
          <w:rFonts w:hint="eastAsia" w:ascii="仿宋_GB2312" w:hAnsi="仿宋_GB2312" w:eastAsia="仿宋_GB2312" w:cs="仿宋_GB2312"/>
          <w:bCs w:val="0"/>
          <w:spacing w:val="0"/>
          <w:w w:val="100"/>
          <w:position w:val="0"/>
          <w:sz w:val="32"/>
          <w:szCs w:val="32"/>
          <w:highlight w:val="none"/>
        </w:rPr>
      </w:pPr>
      <w:r>
        <w:rPr>
          <w:rFonts w:hint="eastAsia"/>
        </w:rPr>
        <w:t>第一章</w:t>
      </w:r>
      <w:r>
        <w:rPr>
          <w:rFonts w:hint="eastAsia"/>
          <w:lang w:val="en-US" w:eastAsia="zh-CN"/>
        </w:rPr>
        <w:t xml:space="preserve"> </w:t>
      </w:r>
      <w:r>
        <w:rPr>
          <w:rFonts w:hint="eastAsia"/>
        </w:rPr>
        <w:t>总则</w:t>
      </w:r>
    </w:p>
    <w:p>
      <w:pPr>
        <w:ind w:firstLine="632"/>
      </w:pPr>
      <w:r>
        <w:rPr>
          <w:rFonts w:hint="eastAsia" w:ascii="仿宋_GB2312" w:hAnsi="仿宋_GB2312" w:eastAsia="仿宋_GB2312" w:cs="仿宋_GB2312"/>
          <w:bCs w:val="0"/>
          <w:spacing w:val="0"/>
          <w:w w:val="100"/>
          <w:position w:val="0"/>
          <w:sz w:val="32"/>
          <w:szCs w:val="32"/>
          <w:highlight w:val="none"/>
        </w:rPr>
        <w:t>第一条</w:t>
      </w:r>
      <w:r>
        <w:rPr>
          <w:rFonts w:hint="eastAsia"/>
          <w:lang w:val="en-US" w:eastAsia="zh-CN"/>
        </w:rPr>
        <w:t xml:space="preserve"> </w:t>
      </w:r>
      <w:r>
        <w:rPr>
          <w:rFonts w:hint="eastAsia" w:ascii="仿宋_GB2312" w:hAnsi="仿宋_GB2312" w:eastAsia="仿宋_GB2312" w:cs="仿宋_GB2312"/>
          <w:bCs w:val="0"/>
          <w:spacing w:val="0"/>
          <w:w w:val="100"/>
          <w:position w:val="0"/>
          <w:sz w:val="32"/>
          <w:szCs w:val="32"/>
          <w:highlight w:val="none"/>
        </w:rPr>
        <w:t>为</w:t>
      </w:r>
      <w:r>
        <w:rPr>
          <w:rFonts w:hint="eastAsia" w:ascii="仿宋_GB2312" w:hAnsi="仿宋_GB2312" w:eastAsia="仿宋_GB2312" w:cs="仿宋_GB2312"/>
          <w:bCs w:val="0"/>
          <w:color w:val="auto"/>
          <w:spacing w:val="0"/>
          <w:w w:val="100"/>
          <w:position w:val="0"/>
          <w:sz w:val="32"/>
          <w:szCs w:val="32"/>
          <w:highlight w:val="none"/>
        </w:rPr>
        <w:t>切实</w:t>
      </w:r>
      <w:r>
        <w:rPr>
          <w:rFonts w:hint="eastAsia" w:cs="仿宋_GB2312"/>
          <w:bCs w:val="0"/>
          <w:color w:val="auto"/>
          <w:spacing w:val="0"/>
          <w:w w:val="100"/>
          <w:position w:val="0"/>
          <w:sz w:val="32"/>
          <w:szCs w:val="32"/>
          <w:highlight w:val="none"/>
          <w:lang w:val="en-US" w:eastAsia="zh-CN"/>
        </w:rPr>
        <w:t>加强汕头市澄海区省、市级现代农业产业园</w:t>
      </w:r>
      <w:r>
        <w:rPr>
          <w:rFonts w:hint="eastAsia" w:ascii="仿宋_GB2312" w:hAnsi="仿宋_GB2312" w:eastAsia="仿宋_GB2312" w:cs="仿宋_GB2312"/>
          <w:bCs w:val="0"/>
          <w:color w:val="auto"/>
          <w:spacing w:val="0"/>
          <w:w w:val="100"/>
          <w:position w:val="0"/>
          <w:sz w:val="32"/>
          <w:szCs w:val="32"/>
          <w:highlight w:val="none"/>
        </w:rPr>
        <w:t>（以下简称</w:t>
      </w:r>
      <w:r>
        <w:rPr>
          <w:rFonts w:hint="eastAsia" w:cs="仿宋_GB2312"/>
          <w:bCs w:val="0"/>
          <w:color w:val="auto"/>
          <w:spacing w:val="0"/>
          <w:w w:val="100"/>
          <w:position w:val="0"/>
          <w:sz w:val="32"/>
          <w:szCs w:val="32"/>
          <w:highlight w:val="none"/>
          <w:lang w:eastAsia="zh-CN"/>
        </w:rPr>
        <w:t>“</w:t>
      </w:r>
      <w:r>
        <w:rPr>
          <w:rFonts w:hint="eastAsia" w:ascii="仿宋_GB2312" w:hAnsi="仿宋_GB2312" w:eastAsia="仿宋_GB2312" w:cs="仿宋_GB2312"/>
          <w:bCs w:val="0"/>
          <w:color w:val="auto"/>
          <w:spacing w:val="0"/>
          <w:w w:val="100"/>
          <w:position w:val="0"/>
          <w:sz w:val="32"/>
          <w:szCs w:val="32"/>
          <w:highlight w:val="none"/>
        </w:rPr>
        <w:t>产业园</w:t>
      </w:r>
      <w:r>
        <w:rPr>
          <w:rFonts w:hint="eastAsia" w:cs="仿宋_GB2312"/>
          <w:bCs w:val="0"/>
          <w:color w:val="auto"/>
          <w:spacing w:val="0"/>
          <w:w w:val="100"/>
          <w:position w:val="0"/>
          <w:sz w:val="32"/>
          <w:szCs w:val="32"/>
          <w:highlight w:val="none"/>
          <w:lang w:eastAsia="zh-CN"/>
        </w:rPr>
        <w:t>”</w:t>
      </w:r>
      <w:r>
        <w:rPr>
          <w:rFonts w:hint="eastAsia" w:ascii="仿宋_GB2312" w:hAnsi="仿宋_GB2312" w:eastAsia="仿宋_GB2312" w:cs="仿宋_GB2312"/>
          <w:bCs w:val="0"/>
          <w:color w:val="auto"/>
          <w:spacing w:val="0"/>
          <w:w w:val="100"/>
          <w:position w:val="0"/>
          <w:sz w:val="32"/>
          <w:szCs w:val="32"/>
          <w:highlight w:val="none"/>
        </w:rPr>
        <w:t>）</w:t>
      </w:r>
      <w:r>
        <w:rPr>
          <w:rFonts w:hint="eastAsia" w:ascii="仿宋_GB2312" w:hAnsi="仿宋_GB2312" w:eastAsia="仿宋_GB2312" w:cs="仿宋_GB2312"/>
          <w:bCs w:val="0"/>
          <w:color w:val="auto"/>
          <w:spacing w:val="0"/>
          <w:w w:val="100"/>
          <w:position w:val="0"/>
          <w:sz w:val="32"/>
          <w:szCs w:val="32"/>
          <w:highlight w:val="none"/>
          <w:lang w:val="en-US" w:eastAsia="zh-CN"/>
        </w:rPr>
        <w:t>项目资产安全和运营管理，</w:t>
      </w:r>
      <w:r>
        <w:rPr>
          <w:rFonts w:hint="eastAsia"/>
          <w:color w:val="auto"/>
          <w:lang w:val="en-US" w:eastAsia="zh-CN"/>
        </w:rPr>
        <w:t>保障产业园良好运行，根据《广东省现代农业产业园财政资金管理办法（修订）》、《关于进一步加强省级现代农业产业园监管工作的通知》及《汕头市现代农业产业园市级财政补助资金管理规定》文件精神，特</w:t>
      </w:r>
      <w:r>
        <w:rPr>
          <w:rFonts w:hint="eastAsia" w:ascii="仿宋_GB2312" w:hAnsi="仿宋_GB2312" w:eastAsia="仿宋_GB2312" w:cs="仿宋_GB2312"/>
          <w:bCs w:val="0"/>
          <w:spacing w:val="0"/>
          <w:w w:val="100"/>
          <w:position w:val="0"/>
          <w:sz w:val="32"/>
          <w:szCs w:val="32"/>
          <w:highlight w:val="none"/>
          <w:lang w:eastAsia="zh-CN"/>
        </w:rPr>
        <w:t>制定</w:t>
      </w:r>
      <w:r>
        <w:rPr>
          <w:rFonts w:hint="eastAsia" w:ascii="仿宋_GB2312" w:hAnsi="仿宋_GB2312" w:eastAsia="仿宋_GB2312" w:cs="仿宋_GB2312"/>
          <w:bCs w:val="0"/>
          <w:spacing w:val="0"/>
          <w:w w:val="100"/>
          <w:position w:val="0"/>
          <w:sz w:val="32"/>
          <w:szCs w:val="32"/>
          <w:highlight w:val="none"/>
        </w:rPr>
        <w:t>本</w:t>
      </w:r>
      <w:r>
        <w:rPr>
          <w:rFonts w:hint="eastAsia" w:cs="仿宋_GB2312"/>
          <w:bCs w:val="0"/>
          <w:spacing w:val="0"/>
          <w:w w:val="100"/>
          <w:position w:val="0"/>
          <w:sz w:val="32"/>
          <w:szCs w:val="32"/>
          <w:highlight w:val="none"/>
          <w:lang w:val="en-US" w:eastAsia="zh-CN"/>
        </w:rPr>
        <w:t>制度</w:t>
      </w:r>
      <w:r>
        <w:rPr>
          <w:rFonts w:hint="eastAsia" w:ascii="仿宋_GB2312" w:hAnsi="仿宋_GB2312" w:eastAsia="仿宋_GB2312" w:cs="仿宋_GB2312"/>
          <w:bCs w:val="0"/>
          <w:spacing w:val="0"/>
          <w:w w:val="100"/>
          <w:position w:val="0"/>
          <w:sz w:val="32"/>
          <w:szCs w:val="32"/>
          <w:highlight w:val="none"/>
        </w:rPr>
        <w:t>。</w:t>
      </w:r>
    </w:p>
    <w:p>
      <w:pPr>
        <w:ind w:firstLine="632"/>
        <w:rPr>
          <w:rFonts w:hint="eastAsia"/>
          <w:lang w:val="en-US" w:eastAsia="zh-CN"/>
        </w:rPr>
      </w:pPr>
      <w:r>
        <w:rPr>
          <w:rFonts w:hint="eastAsia" w:ascii="仿宋_GB2312" w:hAnsi="仿宋_GB2312" w:eastAsia="仿宋_GB2312" w:cs="仿宋_GB2312"/>
          <w:bCs w:val="0"/>
          <w:spacing w:val="0"/>
          <w:w w:val="100"/>
          <w:position w:val="0"/>
          <w:sz w:val="32"/>
          <w:szCs w:val="32"/>
          <w:highlight w:val="none"/>
          <w:lang w:val="en-US" w:eastAsia="zh-CN"/>
        </w:rPr>
        <w:t>第</w:t>
      </w:r>
      <w:r>
        <w:rPr>
          <w:rFonts w:hint="eastAsia" w:cs="仿宋_GB2312"/>
          <w:bCs w:val="0"/>
          <w:spacing w:val="0"/>
          <w:w w:val="100"/>
          <w:position w:val="0"/>
          <w:sz w:val="32"/>
          <w:szCs w:val="32"/>
          <w:highlight w:val="none"/>
          <w:lang w:val="en-US" w:eastAsia="zh-CN"/>
        </w:rPr>
        <w:t>二</w:t>
      </w:r>
      <w:r>
        <w:rPr>
          <w:rFonts w:hint="eastAsia" w:ascii="仿宋_GB2312" w:hAnsi="仿宋_GB2312" w:eastAsia="仿宋_GB2312" w:cs="仿宋_GB2312"/>
          <w:bCs w:val="0"/>
          <w:spacing w:val="0"/>
          <w:w w:val="100"/>
          <w:position w:val="0"/>
          <w:sz w:val="32"/>
          <w:szCs w:val="32"/>
          <w:highlight w:val="none"/>
          <w:lang w:val="en-US" w:eastAsia="zh-CN"/>
        </w:rPr>
        <w:t>条</w:t>
      </w:r>
      <w:r>
        <w:rPr>
          <w:rFonts w:hint="eastAsia"/>
          <w:lang w:val="en-US" w:eastAsia="zh-CN"/>
        </w:rPr>
        <w:t xml:space="preserve"> 本制度所指的实物资产是指</w:t>
      </w:r>
      <w:r>
        <w:rPr>
          <w:rFonts w:hint="default"/>
          <w:lang w:val="en-US" w:eastAsia="zh-CN"/>
        </w:rPr>
        <w:t>使用</w:t>
      </w:r>
      <w:r>
        <w:rPr>
          <w:rFonts w:hint="eastAsia"/>
          <w:lang w:val="en-US" w:eastAsia="zh-CN"/>
        </w:rPr>
        <w:t>省、市级现代农业产业园专项财政资金</w:t>
      </w:r>
      <w:r>
        <w:rPr>
          <w:rFonts w:hint="default"/>
          <w:lang w:val="en-US" w:eastAsia="zh-CN"/>
        </w:rPr>
        <w:t>所形成的</w:t>
      </w:r>
      <w:r>
        <w:rPr>
          <w:rFonts w:hint="eastAsia"/>
          <w:lang w:val="en-US" w:eastAsia="zh-CN"/>
        </w:rPr>
        <w:t>、</w:t>
      </w:r>
      <w:r>
        <w:rPr>
          <w:rFonts w:hint="default"/>
          <w:lang w:val="en-US" w:eastAsia="zh-CN"/>
        </w:rPr>
        <w:t>使用时间超过一个会计年度，价值达到一定标准的非货币性资产，包括房屋、建筑物、机器、机械、运输工具以及其他与生产经营活动有关的设备、器具、工具等实物资产。</w:t>
      </w:r>
    </w:p>
    <w:p>
      <w:pPr>
        <w:ind w:firstLine="632"/>
        <w:rPr>
          <w:rFonts w:hint="eastAsia"/>
          <w:lang w:val="en-US" w:eastAsia="zh-CN"/>
        </w:rPr>
      </w:pPr>
      <w:r>
        <w:rPr>
          <w:rFonts w:hint="default" w:cs="仿宋_GB2312"/>
          <w:bCs w:val="0"/>
          <w:spacing w:val="0"/>
          <w:w w:val="100"/>
          <w:position w:val="0"/>
          <w:sz w:val="32"/>
          <w:szCs w:val="32"/>
          <w:highlight w:val="none"/>
          <w:lang w:val="en-US" w:eastAsia="zh-CN"/>
        </w:rPr>
        <w:t>第</w:t>
      </w:r>
      <w:r>
        <w:rPr>
          <w:rFonts w:hint="eastAsia" w:cs="仿宋_GB2312"/>
          <w:bCs w:val="0"/>
          <w:spacing w:val="0"/>
          <w:w w:val="100"/>
          <w:position w:val="0"/>
          <w:sz w:val="32"/>
          <w:szCs w:val="32"/>
          <w:highlight w:val="none"/>
          <w:lang w:val="en-US" w:eastAsia="zh-CN"/>
        </w:rPr>
        <w:t>三</w:t>
      </w:r>
      <w:r>
        <w:rPr>
          <w:rFonts w:hint="default" w:cs="仿宋_GB2312"/>
          <w:bCs w:val="0"/>
          <w:spacing w:val="0"/>
          <w:w w:val="100"/>
          <w:position w:val="0"/>
          <w:sz w:val="32"/>
          <w:szCs w:val="32"/>
          <w:highlight w:val="none"/>
          <w:lang w:val="en-US" w:eastAsia="zh-CN"/>
        </w:rPr>
        <w:t>条</w:t>
      </w:r>
      <w:r>
        <w:rPr>
          <w:rFonts w:hint="eastAsia"/>
          <w:lang w:val="en-US" w:eastAsia="zh-CN"/>
        </w:rPr>
        <w:t xml:space="preserve"> </w:t>
      </w:r>
      <w:r>
        <w:rPr>
          <w:rFonts w:hint="eastAsia"/>
          <w:color w:val="auto"/>
          <w:lang w:val="en-US" w:eastAsia="zh-CN"/>
        </w:rPr>
        <w:t>固定资产管理实行“谁使用、谁管理、谁负责”的原则，明确相关固定资产的管理主体、监管主体，对建设中和建设完成后的相关资产加强管理，监测公益类项目、财政资金形成的实物固定资产安全和运营效果，在实物资产的使用寿命期限内，定期监测其去向和使用情况。</w:t>
      </w:r>
    </w:p>
    <w:p>
      <w:pPr>
        <w:pStyle w:val="3"/>
        <w:bidi w:val="0"/>
        <w:ind w:left="0" w:leftChars="0" w:firstLine="0" w:firstLineChars="0"/>
        <w:jc w:val="center"/>
        <w:rPr>
          <w:rFonts w:hint="eastAsia" w:cs="仿宋_GB2312"/>
          <w:bCs w:val="0"/>
          <w:color w:val="auto"/>
          <w:spacing w:val="0"/>
          <w:w w:val="100"/>
          <w:position w:val="0"/>
          <w:sz w:val="32"/>
          <w:szCs w:val="32"/>
          <w:highlight w:val="none"/>
          <w:lang w:val="en-US" w:eastAsia="zh-CN"/>
        </w:rPr>
      </w:pPr>
      <w:r>
        <w:rPr>
          <w:rFonts w:hint="eastAsia"/>
          <w:lang w:val="en-US" w:eastAsia="zh-CN"/>
        </w:rPr>
        <w:t>第二章 管理机构及其职责</w:t>
      </w:r>
    </w:p>
    <w:p>
      <w:pPr>
        <w:keepNext w:val="0"/>
        <w:keepLines w:val="0"/>
        <w:pageBreakBefore w:val="0"/>
        <w:widowControl w:val="0"/>
        <w:kinsoku/>
        <w:wordWrap/>
        <w:overflowPunct/>
        <w:topLinePunct w:val="0"/>
        <w:autoSpaceDE/>
        <w:autoSpaceDN/>
        <w:bidi w:val="0"/>
        <w:adjustRightInd/>
        <w:snapToGrid/>
        <w:textAlignment w:val="auto"/>
        <w:rPr>
          <w:rFonts w:hint="eastAsia" w:cstheme="minorBidi"/>
          <w:bCs w:val="0"/>
          <w:color w:val="auto"/>
          <w:spacing w:val="0"/>
          <w:w w:val="100"/>
          <w:position w:val="0"/>
          <w:sz w:val="32"/>
          <w:szCs w:val="24"/>
          <w:highlight w:val="none"/>
          <w:lang w:val="en-US" w:eastAsia="zh-CN"/>
        </w:rPr>
      </w:pPr>
      <w:r>
        <w:rPr>
          <w:rFonts w:hint="eastAsia" w:cs="仿宋_GB2312"/>
          <w:bCs w:val="0"/>
          <w:color w:val="auto"/>
          <w:spacing w:val="0"/>
          <w:w w:val="100"/>
          <w:position w:val="0"/>
          <w:sz w:val="32"/>
          <w:szCs w:val="32"/>
          <w:highlight w:val="none"/>
          <w:lang w:val="en-US" w:eastAsia="zh-CN"/>
        </w:rPr>
        <w:t>第四条</w:t>
      </w:r>
      <w:r>
        <w:rPr>
          <w:rFonts w:hint="eastAsia" w:cstheme="minorBidi"/>
          <w:bCs w:val="0"/>
          <w:color w:val="auto"/>
          <w:spacing w:val="0"/>
          <w:w w:val="100"/>
          <w:position w:val="0"/>
          <w:sz w:val="32"/>
          <w:szCs w:val="24"/>
          <w:highlight w:val="none"/>
          <w:lang w:val="en-US" w:eastAsia="zh-CN"/>
        </w:rPr>
        <w:t xml:space="preserve"> 澄海区人民政府作为产业园的责任主体，负责重大事项决策和协调推进，统筹领导产业园建设与资产管理工作。澄海区现代农业产业园建设领导小组办公室（以下简称“办公室”）为产业园实物资产的统一监管单位，负责</w:t>
      </w:r>
      <w:r>
        <w:rPr>
          <w:rFonts w:hint="eastAsia"/>
          <w:color w:val="auto"/>
          <w:lang w:val="en-US" w:eastAsia="zh-CN"/>
        </w:rPr>
        <w:t>指导各实施主体对使用产业园专项财政资金形成实物资产进行清查登记、绩效评价等工作；定期监管产业园实物资产的去向和使用情况</w:t>
      </w:r>
      <w:r>
        <w:rPr>
          <w:rFonts w:hint="eastAsia" w:cstheme="minorBidi"/>
          <w:bCs w:val="0"/>
          <w:color w:val="auto"/>
          <w:spacing w:val="0"/>
          <w:w w:val="100"/>
          <w:position w:val="0"/>
          <w:sz w:val="32"/>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cstheme="minorBidi"/>
          <w:bCs w:val="0"/>
          <w:color w:val="auto"/>
          <w:spacing w:val="0"/>
          <w:w w:val="100"/>
          <w:position w:val="0"/>
          <w:sz w:val="32"/>
          <w:szCs w:val="24"/>
          <w:highlight w:val="none"/>
          <w:lang w:val="en-US" w:eastAsia="zh-CN"/>
        </w:rPr>
      </w:pPr>
      <w:r>
        <w:rPr>
          <w:rFonts w:hint="eastAsia" w:cstheme="minorBidi"/>
          <w:bCs w:val="0"/>
          <w:color w:val="auto"/>
          <w:spacing w:val="0"/>
          <w:w w:val="100"/>
          <w:position w:val="0"/>
          <w:sz w:val="32"/>
          <w:szCs w:val="24"/>
          <w:highlight w:val="none"/>
          <w:lang w:val="en-US" w:eastAsia="zh-CN"/>
        </w:rPr>
        <w:t>产业园实施主体为项目固定资产购置、使用人，负责产业园项目及固定资产运营的管理工作，主要职责是:</w:t>
      </w:r>
    </w:p>
    <w:p>
      <w:pPr>
        <w:keepNext w:val="0"/>
        <w:keepLines w:val="0"/>
        <w:pageBreakBefore w:val="0"/>
        <w:widowControl w:val="0"/>
        <w:kinsoku/>
        <w:wordWrap/>
        <w:overflowPunct/>
        <w:topLinePunct w:val="0"/>
        <w:autoSpaceDE/>
        <w:autoSpaceDN/>
        <w:bidi w:val="0"/>
        <w:adjustRightInd/>
        <w:snapToGrid/>
        <w:textAlignment w:val="auto"/>
        <w:rPr>
          <w:rFonts w:hint="eastAsia" w:cstheme="minorBidi"/>
          <w:bCs w:val="0"/>
          <w:color w:val="auto"/>
          <w:spacing w:val="0"/>
          <w:w w:val="100"/>
          <w:position w:val="0"/>
          <w:sz w:val="32"/>
          <w:szCs w:val="24"/>
          <w:highlight w:val="none"/>
          <w:lang w:val="en-US" w:eastAsia="zh-CN"/>
        </w:rPr>
      </w:pPr>
      <w:r>
        <w:rPr>
          <w:rFonts w:hint="eastAsia" w:cstheme="minorBidi"/>
          <w:bCs w:val="0"/>
          <w:color w:val="auto"/>
          <w:spacing w:val="0"/>
          <w:w w:val="100"/>
          <w:position w:val="0"/>
          <w:sz w:val="32"/>
          <w:szCs w:val="24"/>
          <w:highlight w:val="none"/>
          <w:lang w:val="en-US" w:eastAsia="zh-CN"/>
        </w:rPr>
        <w:t>（一）根据产业园资金使用方案制定的所需固定资产的年度配置计划实施。</w:t>
      </w:r>
    </w:p>
    <w:p>
      <w:pPr>
        <w:keepNext w:val="0"/>
        <w:keepLines w:val="0"/>
        <w:pageBreakBefore w:val="0"/>
        <w:widowControl w:val="0"/>
        <w:kinsoku/>
        <w:wordWrap/>
        <w:overflowPunct/>
        <w:topLinePunct w:val="0"/>
        <w:autoSpaceDE/>
        <w:autoSpaceDN/>
        <w:bidi w:val="0"/>
        <w:adjustRightInd/>
        <w:snapToGrid/>
        <w:textAlignment w:val="auto"/>
        <w:rPr>
          <w:rFonts w:hint="eastAsia" w:cstheme="minorBidi"/>
          <w:bCs w:val="0"/>
          <w:color w:val="auto"/>
          <w:spacing w:val="0"/>
          <w:w w:val="100"/>
          <w:position w:val="0"/>
          <w:sz w:val="32"/>
          <w:szCs w:val="24"/>
          <w:highlight w:val="none"/>
          <w:lang w:val="en-US" w:eastAsia="zh-CN"/>
        </w:rPr>
      </w:pPr>
      <w:r>
        <w:rPr>
          <w:rFonts w:hint="eastAsia" w:cstheme="minorBidi"/>
          <w:bCs w:val="0"/>
          <w:color w:val="auto"/>
          <w:spacing w:val="0"/>
          <w:w w:val="100"/>
          <w:position w:val="0"/>
          <w:sz w:val="32"/>
          <w:szCs w:val="24"/>
          <w:highlight w:val="none"/>
          <w:lang w:val="en-US" w:eastAsia="zh-CN"/>
        </w:rPr>
        <w:t>（二）建立健全管理制度，负责固定资产入库、登记保管、清点核实、日常监督和生产安全等工作。</w:t>
      </w:r>
    </w:p>
    <w:p>
      <w:pPr>
        <w:keepNext w:val="0"/>
        <w:keepLines w:val="0"/>
        <w:pageBreakBefore w:val="0"/>
        <w:widowControl w:val="0"/>
        <w:kinsoku/>
        <w:wordWrap/>
        <w:overflowPunct/>
        <w:topLinePunct w:val="0"/>
        <w:autoSpaceDE/>
        <w:autoSpaceDN/>
        <w:bidi w:val="0"/>
        <w:adjustRightInd/>
        <w:snapToGrid/>
        <w:textAlignment w:val="auto"/>
        <w:rPr>
          <w:rFonts w:hint="eastAsia" w:cstheme="minorBidi"/>
          <w:bCs w:val="0"/>
          <w:color w:val="auto"/>
          <w:spacing w:val="0"/>
          <w:w w:val="100"/>
          <w:position w:val="0"/>
          <w:sz w:val="32"/>
          <w:szCs w:val="24"/>
          <w:highlight w:val="none"/>
          <w:lang w:val="en-US" w:eastAsia="zh-CN"/>
        </w:rPr>
      </w:pPr>
      <w:r>
        <w:rPr>
          <w:rFonts w:hint="eastAsia" w:cstheme="minorBidi"/>
          <w:bCs w:val="0"/>
          <w:color w:val="auto"/>
          <w:spacing w:val="0"/>
          <w:w w:val="100"/>
          <w:position w:val="0"/>
          <w:sz w:val="32"/>
          <w:szCs w:val="24"/>
          <w:highlight w:val="none"/>
          <w:lang w:val="en-US" w:eastAsia="zh-CN"/>
        </w:rPr>
        <w:t>（三）负责产业园项目固定资产配置、处置等事项报批工作。</w:t>
      </w:r>
    </w:p>
    <w:p>
      <w:pPr>
        <w:keepNext w:val="0"/>
        <w:keepLines w:val="0"/>
        <w:pageBreakBefore w:val="0"/>
        <w:widowControl w:val="0"/>
        <w:kinsoku/>
        <w:wordWrap/>
        <w:overflowPunct/>
        <w:topLinePunct w:val="0"/>
        <w:autoSpaceDE/>
        <w:autoSpaceDN/>
        <w:bidi w:val="0"/>
        <w:adjustRightInd/>
        <w:snapToGrid/>
        <w:textAlignment w:val="auto"/>
        <w:rPr>
          <w:rFonts w:hint="eastAsia" w:cstheme="minorBidi"/>
          <w:bCs w:val="0"/>
          <w:color w:val="auto"/>
          <w:spacing w:val="0"/>
          <w:w w:val="100"/>
          <w:position w:val="0"/>
          <w:sz w:val="32"/>
          <w:szCs w:val="24"/>
          <w:highlight w:val="none"/>
          <w:lang w:val="en-US" w:eastAsia="zh-CN"/>
        </w:rPr>
      </w:pPr>
      <w:r>
        <w:rPr>
          <w:rFonts w:hint="eastAsia" w:cstheme="minorBidi"/>
          <w:bCs w:val="0"/>
          <w:color w:val="auto"/>
          <w:spacing w:val="0"/>
          <w:w w:val="100"/>
          <w:position w:val="0"/>
          <w:sz w:val="32"/>
          <w:szCs w:val="24"/>
          <w:highlight w:val="none"/>
          <w:lang w:val="en-US" w:eastAsia="zh-CN"/>
        </w:rPr>
        <w:t>（四）接受办公室对固定资产日常管理工作的监督，对闲置、报废的固定资产及时向办公室汇报。</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stheme="minorBidi"/>
          <w:bCs w:val="0"/>
          <w:color w:val="auto"/>
          <w:spacing w:val="0"/>
          <w:w w:val="100"/>
          <w:position w:val="0"/>
          <w:sz w:val="32"/>
          <w:szCs w:val="24"/>
          <w:highlight w:val="none"/>
          <w:lang w:val="en-US" w:eastAsia="zh-CN"/>
        </w:rPr>
        <w:t>（五）接受上级部门、单位的监督、指导，根据要求向其报告产业园固定资产管理工作情况。</w:t>
      </w:r>
    </w:p>
    <w:p>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cs="仿宋_GB2312"/>
          <w:bCs w:val="0"/>
          <w:color w:val="auto"/>
          <w:spacing w:val="0"/>
          <w:w w:val="100"/>
          <w:position w:val="0"/>
          <w:sz w:val="32"/>
          <w:szCs w:val="32"/>
          <w:highlight w:val="none"/>
          <w:lang w:val="en-US" w:eastAsia="zh-CN"/>
        </w:rPr>
      </w:pPr>
      <w:r>
        <w:rPr>
          <w:rFonts w:hint="eastAsia"/>
          <w:color w:val="auto"/>
          <w:lang w:val="en-US" w:eastAsia="zh-CN"/>
        </w:rPr>
        <w:t>第三章 资产购置、使用和维护</w:t>
      </w:r>
    </w:p>
    <w:p>
      <w:pPr>
        <w:keepNext w:val="0"/>
        <w:keepLines w:val="0"/>
        <w:pageBreakBefore w:val="0"/>
        <w:widowControl w:val="0"/>
        <w:tabs>
          <w:tab w:val="left" w:pos="7202"/>
        </w:tabs>
        <w:kinsoku/>
        <w:wordWrap/>
        <w:overflowPunct/>
        <w:topLinePunct w:val="0"/>
        <w:autoSpaceDE/>
        <w:autoSpaceDN/>
        <w:bidi w:val="0"/>
        <w:adjustRightInd/>
        <w:snapToGrid/>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rPr>
        <w:t>第五条</w:t>
      </w:r>
      <w:r>
        <w:rPr>
          <w:rFonts w:hint="eastAsia"/>
          <w:color w:val="auto"/>
          <w:lang w:val="en-US" w:eastAsia="zh-CN"/>
        </w:rPr>
        <w:t xml:space="preserve"> 资产购置。产业园实施主体应严格按照备案的产业园资金使用方案、财政资金管理条例等国家、省规定的法律法规，合法合规地使用</w:t>
      </w:r>
      <w:r>
        <w:rPr>
          <w:rFonts w:hint="eastAsia"/>
          <w:lang w:val="en-US" w:eastAsia="zh-CN"/>
        </w:rPr>
        <w:t>省、市级现代农业产业园专项财政资金</w:t>
      </w:r>
      <w:r>
        <w:rPr>
          <w:rFonts w:hint="eastAsia"/>
          <w:color w:val="auto"/>
          <w:lang w:val="en-US" w:eastAsia="zh-CN"/>
        </w:rPr>
        <w:t>，购置实物资产。购置过程应留存合同、发票、验收单、资金支付凭证等完整资料，作为资产入账和登记依据。</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s="仿宋_GB2312"/>
          <w:bCs w:val="0"/>
          <w:color w:val="auto"/>
          <w:spacing w:val="0"/>
          <w:w w:val="100"/>
          <w:position w:val="0"/>
          <w:sz w:val="32"/>
          <w:szCs w:val="32"/>
          <w:highlight w:val="none"/>
          <w:lang w:val="en-US" w:eastAsia="zh-CN"/>
        </w:rPr>
        <w:t>第六条</w:t>
      </w:r>
      <w:r>
        <w:rPr>
          <w:rFonts w:hint="eastAsia"/>
          <w:color w:val="auto"/>
          <w:lang w:val="en-US" w:eastAsia="zh-CN"/>
        </w:rPr>
        <w:t xml:space="preserve"> 运营使用。实施主体应当合理使用、妥善保管资产，避免资产闲置浪费，不得随意对外出租、出借、担保、不得挪作他用，产业园责任主体有权依法处置拒不整改导致</w:t>
      </w:r>
      <w:r>
        <w:rPr>
          <w:rFonts w:hint="default"/>
          <w:color w:val="auto"/>
          <w:lang w:val="en-US" w:eastAsia="zh-CN"/>
        </w:rPr>
        <w:t>闲置的资产</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rPr>
        <w:t>第七条</w:t>
      </w:r>
      <w:r>
        <w:rPr>
          <w:rFonts w:hint="eastAsia" w:ascii="楷体_GB2312" w:hAnsi="楷体_GB2312" w:eastAsia="楷体_GB2312" w:cs="楷体_GB2312"/>
          <w:b/>
          <w:bCs/>
          <w:color w:val="auto"/>
          <w:sz w:val="32"/>
          <w:szCs w:val="32"/>
          <w:lang w:val="en-US" w:eastAsia="zh-CN"/>
        </w:rPr>
        <w:t xml:space="preserve"> </w:t>
      </w:r>
      <w:r>
        <w:rPr>
          <w:rFonts w:hint="eastAsia" w:cs="仿宋_GB2312"/>
          <w:color w:val="auto"/>
          <w:sz w:val="32"/>
          <w:szCs w:val="32"/>
          <w:lang w:val="en-US" w:eastAsia="zh-CN"/>
        </w:rPr>
        <w:t>维护保养。项目实施主体为资产第一负责人和使用人，负责资产的日常巡检、预防性维修和年度保养。出现闲置、故障及损坏等情况，应及时向办公室提出反馈及安排专人跟进。</w:t>
      </w:r>
    </w:p>
    <w:p>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s="仿宋_GB2312"/>
          <w:bCs w:val="0"/>
          <w:color w:val="auto"/>
          <w:spacing w:val="0"/>
          <w:w w:val="100"/>
          <w:position w:val="0"/>
          <w:sz w:val="32"/>
          <w:szCs w:val="32"/>
          <w:highlight w:val="none"/>
          <w:lang w:val="en-US" w:eastAsia="zh-CN"/>
        </w:rPr>
      </w:pPr>
      <w:r>
        <w:rPr>
          <w:rFonts w:hint="default"/>
          <w:color w:val="auto"/>
          <w:lang w:val="en-US" w:eastAsia="zh-CN"/>
        </w:rPr>
        <w:t>第</w:t>
      </w:r>
      <w:r>
        <w:rPr>
          <w:rFonts w:hint="eastAsia"/>
          <w:color w:val="auto"/>
          <w:lang w:val="en-US" w:eastAsia="zh-CN"/>
        </w:rPr>
        <w:t>四</w:t>
      </w:r>
      <w:r>
        <w:rPr>
          <w:rFonts w:hint="default"/>
          <w:color w:val="auto"/>
          <w:lang w:val="en-US" w:eastAsia="zh-CN"/>
        </w:rPr>
        <w:t>章</w:t>
      </w:r>
      <w:r>
        <w:rPr>
          <w:rFonts w:hint="eastAsia"/>
          <w:color w:val="auto"/>
          <w:lang w:val="en-US" w:eastAsia="zh-CN"/>
        </w:rPr>
        <w:t xml:space="preserve"> </w:t>
      </w:r>
      <w:r>
        <w:rPr>
          <w:rFonts w:hint="default"/>
          <w:color w:val="auto"/>
          <w:lang w:val="en-US" w:eastAsia="zh-CN"/>
        </w:rPr>
        <w:t>建立台账</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s="仿宋_GB2312"/>
          <w:bCs w:val="0"/>
          <w:color w:val="auto"/>
          <w:spacing w:val="0"/>
          <w:w w:val="100"/>
          <w:position w:val="0"/>
          <w:sz w:val="32"/>
          <w:szCs w:val="32"/>
          <w:highlight w:val="none"/>
          <w:lang w:val="en-US" w:eastAsia="zh-CN"/>
        </w:rPr>
        <w:t>第</w:t>
      </w:r>
      <w:r>
        <w:rPr>
          <w:rFonts w:hint="eastAsia" w:cs="仿宋_GB2312"/>
          <w:bCs w:val="0"/>
          <w:color w:val="auto"/>
          <w:spacing w:val="0"/>
          <w:w w:val="100"/>
          <w:position w:val="0"/>
          <w:sz w:val="32"/>
          <w:szCs w:val="32"/>
          <w:highlight w:val="none"/>
          <w:lang w:val="en-US" w:eastAsia="zh-CN"/>
        </w:rPr>
        <w:t>八</w:t>
      </w:r>
      <w:r>
        <w:rPr>
          <w:rFonts w:hint="default" w:cs="仿宋_GB2312"/>
          <w:bCs w:val="0"/>
          <w:color w:val="auto"/>
          <w:spacing w:val="0"/>
          <w:w w:val="100"/>
          <w:position w:val="0"/>
          <w:sz w:val="32"/>
          <w:szCs w:val="32"/>
          <w:highlight w:val="none"/>
          <w:lang w:val="en-US" w:eastAsia="zh-CN"/>
        </w:rPr>
        <w:t>条</w:t>
      </w:r>
      <w:r>
        <w:rPr>
          <w:rFonts w:hint="eastAsia"/>
          <w:color w:val="auto"/>
          <w:lang w:val="en-US" w:eastAsia="zh-CN"/>
        </w:rPr>
        <w:t xml:space="preserve"> 产业园实施主体应</w:t>
      </w:r>
      <w:r>
        <w:rPr>
          <w:rFonts w:hint="default"/>
          <w:color w:val="auto"/>
          <w:lang w:val="en-US" w:eastAsia="zh-CN"/>
        </w:rPr>
        <w:t>建立</w:t>
      </w:r>
      <w:r>
        <w:rPr>
          <w:rFonts w:hint="eastAsia"/>
          <w:color w:val="auto"/>
          <w:lang w:val="en-US" w:eastAsia="zh-CN"/>
        </w:rPr>
        <w:t>产业园</w:t>
      </w:r>
      <w:r>
        <w:rPr>
          <w:rFonts w:hint="default"/>
          <w:color w:val="auto"/>
          <w:lang w:val="en-US" w:eastAsia="zh-CN"/>
        </w:rPr>
        <w:t>项目资产台账，实行信息化</w:t>
      </w:r>
      <w:r>
        <w:rPr>
          <w:rFonts w:hint="eastAsia"/>
          <w:color w:val="auto"/>
          <w:lang w:val="en-US" w:eastAsia="zh-CN"/>
        </w:rPr>
        <w:t>、动态化</w:t>
      </w:r>
      <w:r>
        <w:rPr>
          <w:rFonts w:hint="default"/>
          <w:color w:val="auto"/>
          <w:lang w:val="en-US" w:eastAsia="zh-CN"/>
        </w:rPr>
        <w:t>管理。</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s="仿宋_GB2312"/>
          <w:bCs w:val="0"/>
          <w:color w:val="auto"/>
          <w:spacing w:val="0"/>
          <w:w w:val="100"/>
          <w:position w:val="0"/>
          <w:sz w:val="32"/>
          <w:szCs w:val="32"/>
          <w:highlight w:val="none"/>
          <w:lang w:val="en-US" w:eastAsia="zh-CN"/>
        </w:rPr>
        <w:t>第</w:t>
      </w:r>
      <w:r>
        <w:rPr>
          <w:rFonts w:hint="eastAsia" w:cs="仿宋_GB2312"/>
          <w:bCs w:val="0"/>
          <w:color w:val="auto"/>
          <w:spacing w:val="0"/>
          <w:w w:val="100"/>
          <w:position w:val="0"/>
          <w:sz w:val="32"/>
          <w:szCs w:val="32"/>
          <w:highlight w:val="none"/>
          <w:lang w:val="en-US" w:eastAsia="zh-CN"/>
        </w:rPr>
        <w:t>九</w:t>
      </w:r>
      <w:r>
        <w:rPr>
          <w:rFonts w:hint="default" w:cs="仿宋_GB2312"/>
          <w:bCs w:val="0"/>
          <w:color w:val="auto"/>
          <w:spacing w:val="0"/>
          <w:w w:val="100"/>
          <w:position w:val="0"/>
          <w:sz w:val="32"/>
          <w:szCs w:val="32"/>
          <w:highlight w:val="none"/>
          <w:lang w:val="en-US" w:eastAsia="zh-CN"/>
        </w:rPr>
        <w:t>条</w:t>
      </w:r>
      <w:r>
        <w:rPr>
          <w:rFonts w:hint="eastAsia"/>
          <w:color w:val="auto"/>
          <w:lang w:val="en-US" w:eastAsia="zh-CN"/>
        </w:rPr>
        <w:t xml:space="preserve"> </w:t>
      </w:r>
      <w:r>
        <w:rPr>
          <w:rFonts w:hint="default"/>
          <w:color w:val="auto"/>
          <w:lang w:val="en-US" w:eastAsia="zh-CN"/>
        </w:rPr>
        <w:t>台账内容包含但不限于：项目名称、资产名称、资产类别、</w:t>
      </w:r>
      <w:r>
        <w:rPr>
          <w:rFonts w:hint="eastAsia"/>
          <w:color w:val="auto"/>
          <w:lang w:val="en-US" w:eastAsia="zh-CN"/>
        </w:rPr>
        <w:t>规格型号、</w:t>
      </w:r>
      <w:r>
        <w:rPr>
          <w:rFonts w:hint="default"/>
          <w:color w:val="auto"/>
          <w:lang w:val="en-US" w:eastAsia="zh-CN"/>
        </w:rPr>
        <w:t>购建时间、购建数量、计量单位、使用年限、原始价值、资金来源、产权归属、管护模式、资产状态、经营主体、收益权人、经营方式等。形成的</w:t>
      </w:r>
      <w:r>
        <w:rPr>
          <w:rFonts w:hint="eastAsia"/>
          <w:color w:val="auto"/>
          <w:lang w:val="en-US" w:eastAsia="zh-CN"/>
        </w:rPr>
        <w:t>产业园</w:t>
      </w:r>
      <w:r>
        <w:rPr>
          <w:rFonts w:hint="default"/>
          <w:color w:val="auto"/>
          <w:lang w:val="en-US" w:eastAsia="zh-CN"/>
        </w:rPr>
        <w:t>项目资产原始价值，原则上按照项目竣工决算为登记依据。</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rPr>
        <w:t>第十条</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实施主体</w:t>
      </w:r>
      <w:r>
        <w:rPr>
          <w:rFonts w:hint="eastAsia" w:cs="仿宋_GB2312"/>
          <w:color w:val="auto"/>
          <w:sz w:val="32"/>
          <w:szCs w:val="32"/>
          <w:lang w:val="en-US" w:eastAsia="zh-CN"/>
        </w:rPr>
        <w:t>应</w:t>
      </w:r>
      <w:r>
        <w:rPr>
          <w:rFonts w:hint="eastAsia" w:ascii="仿宋_GB2312" w:hAnsi="仿宋_GB2312" w:eastAsia="仿宋_GB2312" w:cs="仿宋_GB2312"/>
          <w:color w:val="auto"/>
          <w:sz w:val="32"/>
          <w:szCs w:val="32"/>
          <w:lang w:val="en-US" w:eastAsia="zh-CN"/>
        </w:rPr>
        <w:t>严格按照会计制度进行会计核算，按规定设置产业园资产账簿，对产业园资产增减变动及时进行会计处理，不得形成账外资产</w:t>
      </w:r>
      <w:r>
        <w:rPr>
          <w:rFonts w:hint="eastAsia" w:cs="仿宋_GB2312"/>
          <w:color w:val="auto"/>
          <w:sz w:val="32"/>
          <w:szCs w:val="32"/>
          <w:lang w:val="en-US" w:eastAsia="zh-CN"/>
        </w:rPr>
        <w:t>。严格遵守</w:t>
      </w:r>
      <w:r>
        <w:rPr>
          <w:rFonts w:hint="eastAsia" w:ascii="仿宋_GB2312" w:hAnsi="仿宋_GB2312" w:eastAsia="仿宋_GB2312" w:cs="仿宋_GB2312"/>
          <w:color w:val="auto"/>
          <w:sz w:val="32"/>
          <w:szCs w:val="32"/>
          <w:lang w:val="en-US" w:eastAsia="zh-CN"/>
        </w:rPr>
        <w:t>财务、会计和资产管理制度有关规定处理，做到账实相符和账账相符</w:t>
      </w:r>
      <w:r>
        <w:rPr>
          <w:rFonts w:hint="eastAsia" w:cs="仿宋_GB2312"/>
          <w:color w:val="auto"/>
          <w:sz w:val="32"/>
          <w:szCs w:val="32"/>
          <w:lang w:val="en-US" w:eastAsia="zh-CN"/>
        </w:rPr>
        <w:t>，并将核对情况报告</w:t>
      </w:r>
      <w:r>
        <w:rPr>
          <w:rFonts w:hint="eastAsia" w:cstheme="minorBidi"/>
          <w:bCs w:val="0"/>
          <w:color w:val="auto"/>
          <w:spacing w:val="0"/>
          <w:w w:val="100"/>
          <w:position w:val="0"/>
          <w:sz w:val="32"/>
          <w:szCs w:val="24"/>
          <w:highlight w:val="none"/>
          <w:lang w:val="en-US" w:eastAsia="zh-CN"/>
        </w:rPr>
        <w:t>办公室</w:t>
      </w:r>
      <w:r>
        <w:rPr>
          <w:rFonts w:hint="eastAsia" w:ascii="仿宋_GB2312" w:hAnsi="仿宋_GB2312" w:eastAsia="仿宋_GB2312" w:cs="仿宋_GB2312"/>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s="仿宋_GB2312"/>
          <w:bCs w:val="0"/>
          <w:color w:val="auto"/>
          <w:spacing w:val="0"/>
          <w:w w:val="100"/>
          <w:position w:val="0"/>
          <w:sz w:val="32"/>
          <w:szCs w:val="32"/>
          <w:highlight w:val="none"/>
          <w:lang w:val="en-US" w:eastAsia="zh-CN"/>
        </w:rPr>
      </w:pPr>
      <w:r>
        <w:rPr>
          <w:rFonts w:hint="default"/>
          <w:color w:val="auto"/>
          <w:lang w:val="en-US" w:eastAsia="zh-CN"/>
        </w:rPr>
        <w:t>第</w:t>
      </w:r>
      <w:r>
        <w:rPr>
          <w:rFonts w:hint="eastAsia"/>
          <w:color w:val="auto"/>
          <w:lang w:val="en-US" w:eastAsia="zh-CN"/>
        </w:rPr>
        <w:t>五</w:t>
      </w:r>
      <w:r>
        <w:rPr>
          <w:rFonts w:hint="default"/>
          <w:color w:val="auto"/>
          <w:lang w:val="en-US" w:eastAsia="zh-CN"/>
        </w:rPr>
        <w:t>章</w:t>
      </w:r>
      <w:r>
        <w:rPr>
          <w:rFonts w:hint="eastAsia"/>
          <w:color w:val="auto"/>
          <w:lang w:val="en-US" w:eastAsia="zh-CN"/>
        </w:rPr>
        <w:t xml:space="preserve"> </w:t>
      </w:r>
      <w:r>
        <w:rPr>
          <w:rFonts w:hint="default"/>
          <w:color w:val="auto"/>
          <w:lang w:val="en-US" w:eastAsia="zh-CN"/>
        </w:rPr>
        <w:t>资产处置</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s="仿宋_GB2312"/>
          <w:bCs w:val="0"/>
          <w:color w:val="auto"/>
          <w:spacing w:val="0"/>
          <w:w w:val="100"/>
          <w:position w:val="0"/>
          <w:sz w:val="32"/>
          <w:szCs w:val="32"/>
          <w:highlight w:val="none"/>
          <w:lang w:val="en-US" w:eastAsia="zh-CN"/>
        </w:rPr>
        <w:t>第</w:t>
      </w:r>
      <w:r>
        <w:rPr>
          <w:rFonts w:hint="eastAsia" w:cs="仿宋_GB2312"/>
          <w:bCs w:val="0"/>
          <w:color w:val="auto"/>
          <w:spacing w:val="0"/>
          <w:w w:val="100"/>
          <w:position w:val="0"/>
          <w:sz w:val="32"/>
          <w:szCs w:val="32"/>
          <w:highlight w:val="none"/>
          <w:lang w:val="en-US" w:eastAsia="zh-CN"/>
        </w:rPr>
        <w:t>十一</w:t>
      </w:r>
      <w:r>
        <w:rPr>
          <w:rFonts w:hint="default" w:cs="仿宋_GB2312"/>
          <w:bCs w:val="0"/>
          <w:color w:val="auto"/>
          <w:spacing w:val="0"/>
          <w:w w:val="100"/>
          <w:position w:val="0"/>
          <w:sz w:val="32"/>
          <w:szCs w:val="32"/>
          <w:highlight w:val="none"/>
          <w:lang w:val="en-US" w:eastAsia="zh-CN"/>
        </w:rPr>
        <w:t>条</w:t>
      </w:r>
      <w:r>
        <w:rPr>
          <w:rFonts w:hint="eastAsia"/>
          <w:color w:val="auto"/>
          <w:lang w:val="en-US" w:eastAsia="zh-CN"/>
        </w:rPr>
        <w:t xml:space="preserve"> </w:t>
      </w:r>
      <w:r>
        <w:rPr>
          <w:rFonts w:hint="default"/>
          <w:color w:val="auto"/>
          <w:lang w:val="en-US" w:eastAsia="zh-CN"/>
        </w:rPr>
        <w:t>资产处置应坚持符合法律法规、规章规定</w:t>
      </w:r>
      <w:r>
        <w:rPr>
          <w:rFonts w:hint="eastAsia"/>
          <w:color w:val="auto"/>
          <w:lang w:val="en-US" w:eastAsia="zh-CN"/>
        </w:rPr>
        <w:t>，</w:t>
      </w:r>
      <w:r>
        <w:rPr>
          <w:rFonts w:hint="default"/>
          <w:color w:val="auto"/>
          <w:lang w:val="en-US" w:eastAsia="zh-CN"/>
        </w:rPr>
        <w:t>公开、公平、公正的原则。任何单位和个人不得随意处置</w:t>
      </w:r>
      <w:r>
        <w:rPr>
          <w:rFonts w:hint="eastAsia"/>
          <w:color w:val="auto"/>
          <w:lang w:val="en-US" w:eastAsia="zh-CN"/>
        </w:rPr>
        <w:t>产业园</w:t>
      </w:r>
      <w:r>
        <w:rPr>
          <w:rFonts w:hint="default"/>
          <w:color w:val="auto"/>
          <w:lang w:val="en-US" w:eastAsia="zh-CN"/>
        </w:rPr>
        <w:t>项目资产。对确需处置的资产，应严格按照有关规定，履行相应审批手续规范处置。</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rPr>
        <w:t>第十二条</w:t>
      </w:r>
      <w:r>
        <w:rPr>
          <w:rFonts w:hint="eastAsia"/>
          <w:color w:val="auto"/>
          <w:lang w:val="en-US" w:eastAsia="zh-CN"/>
        </w:rPr>
        <w:t xml:space="preserve"> 产业园实物资产出现以下情况，经产业园责任主体的审批后可</w:t>
      </w:r>
      <w:r>
        <w:rPr>
          <w:rFonts w:hint="default"/>
          <w:color w:val="auto"/>
          <w:lang w:val="en-US" w:eastAsia="zh-CN"/>
        </w:rPr>
        <w:t>及时予以报废、报损：</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（一）因技术原因确需淘汰或者无法维修、无维修价值的资产；</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（二）已超过使用年限无法继续使用的资产；</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w:t>
      </w:r>
      <w:r>
        <w:rPr>
          <w:rFonts w:hint="eastAsia"/>
          <w:color w:val="auto"/>
          <w:lang w:val="en-US" w:eastAsia="zh-CN"/>
        </w:rPr>
        <w:t>三</w:t>
      </w:r>
      <w:r>
        <w:rPr>
          <w:rFonts w:hint="default"/>
          <w:color w:val="auto"/>
          <w:lang w:val="en-US" w:eastAsia="zh-CN"/>
        </w:rPr>
        <w:t>）因自然灾害等不可抗力造成毁损、灭失的资产</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w:t>
      </w:r>
      <w:r>
        <w:rPr>
          <w:rFonts w:hint="eastAsia"/>
          <w:color w:val="auto"/>
          <w:lang w:val="en-US" w:eastAsia="zh-CN"/>
        </w:rPr>
        <w:t>四</w:t>
      </w:r>
      <w:r>
        <w:rPr>
          <w:rFonts w:hint="default"/>
          <w:color w:val="auto"/>
          <w:lang w:val="en-US" w:eastAsia="zh-CN"/>
        </w:rPr>
        <w:t>）因技术原因并经过科学论证，依照国家有关规定需要进行资产处置的其他情形。</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rPr>
        <w:t>第十三条</w:t>
      </w:r>
      <w:r>
        <w:rPr>
          <w:rFonts w:hint="eastAsia"/>
          <w:color w:val="auto"/>
          <w:lang w:val="en-US" w:eastAsia="zh-CN"/>
        </w:rPr>
        <w:t xml:space="preserve"> 因实施主体发生分立、合并、改制等情况导致资产发生变动的情况，应经产业园责任主体批准后办理资产交接手续。</w:t>
      </w:r>
    </w:p>
    <w:p>
      <w:pPr>
        <w:pStyle w:val="3"/>
        <w:keepNext w:val="0"/>
        <w:keepLines w:val="0"/>
        <w:pageBreakBefore w:val="0"/>
        <w:widowControl w:val="0"/>
        <w:kinsoku/>
        <w:wordWrap/>
        <w:overflowPunct/>
        <w:topLinePunct w:val="0"/>
        <w:autoSpaceDE/>
        <w:autoSpaceDN/>
        <w:bidi w:val="0"/>
        <w:adjustRightInd/>
        <w:snapToGrid/>
        <w:jc w:val="both"/>
        <w:textAlignment w:val="auto"/>
        <w:rPr>
          <w:rFonts w:hint="default"/>
          <w:color w:val="auto"/>
          <w:lang w:val="en-US" w:eastAsia="zh-CN"/>
        </w:rPr>
      </w:pPr>
      <w:r>
        <w:rPr>
          <w:rFonts w:hint="eastAsia"/>
          <w:color w:val="auto"/>
          <w:lang w:val="en-US" w:eastAsia="zh-CN"/>
        </w:rPr>
        <w:t xml:space="preserve">                  第六章 绩效管理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cs="仿宋_GB2312"/>
          <w:color w:val="auto"/>
          <w:sz w:val="32"/>
          <w:szCs w:val="32"/>
          <w:lang w:val="en-US" w:eastAsia="zh-CN"/>
        </w:rPr>
      </w:pPr>
      <w:r>
        <w:rPr>
          <w:rFonts w:hint="eastAsia" w:cs="仿宋_GB2312"/>
          <w:bCs w:val="0"/>
          <w:color w:val="auto"/>
          <w:spacing w:val="0"/>
          <w:w w:val="100"/>
          <w:position w:val="0"/>
          <w:sz w:val="32"/>
          <w:szCs w:val="32"/>
          <w:highlight w:val="none"/>
          <w:lang w:val="en-US" w:eastAsia="zh-CN"/>
        </w:rPr>
        <w:t>第十四条</w:t>
      </w:r>
      <w:r>
        <w:rPr>
          <w:rFonts w:hint="eastAsia" w:cs="仿宋_GB2312"/>
          <w:color w:val="auto"/>
          <w:sz w:val="32"/>
          <w:szCs w:val="32"/>
          <w:lang w:val="en-US" w:eastAsia="zh-CN"/>
        </w:rPr>
        <w:t xml:space="preserve"> 责任主体建立产业园实物资产全过程绩效管理机制，每年对产业园实物资产账实相符情况，配置效率、使用效果、处置以及收入管理和应用等情况进行绩效评价，实施跟踪问效。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color w:val="auto"/>
          <w:lang w:val="en-US" w:eastAsia="zh-CN"/>
        </w:rPr>
      </w:pPr>
      <w:r>
        <w:rPr>
          <w:rFonts w:hint="eastAsia" w:cs="仿宋_GB2312"/>
          <w:bCs w:val="0"/>
          <w:color w:val="auto"/>
          <w:spacing w:val="0"/>
          <w:w w:val="100"/>
          <w:position w:val="0"/>
          <w:sz w:val="32"/>
          <w:szCs w:val="32"/>
          <w:highlight w:val="none"/>
          <w:lang w:val="en-US" w:eastAsia="zh-CN"/>
        </w:rPr>
        <w:t>第十五条</w:t>
      </w:r>
      <w:r>
        <w:rPr>
          <w:rFonts w:hint="eastAsia" w:cs="仿宋_GB2312"/>
          <w:color w:val="auto"/>
          <w:sz w:val="32"/>
          <w:szCs w:val="32"/>
          <w:lang w:val="en-US" w:eastAsia="zh-CN"/>
        </w:rPr>
        <w:t xml:space="preserve"> 实施主体应自觉接受财政、审计、纪检监察等部门的监督检查。对隐瞒资产、虚报数据、违规处置等行为，依法依规追究责任。</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color w:val="auto"/>
          <w:sz w:val="32"/>
          <w:szCs w:val="32"/>
          <w:lang w:val="en-US" w:eastAsia="zh-CN"/>
        </w:rPr>
      </w:pPr>
      <w:r>
        <w:rPr>
          <w:rFonts w:hint="eastAsia"/>
          <w:color w:val="auto"/>
          <w:lang w:val="en-US" w:eastAsia="zh-CN"/>
        </w:rPr>
        <w:t>第七章 责任追究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cs="仿宋_GB2312"/>
          <w:color w:val="auto"/>
          <w:sz w:val="32"/>
          <w:szCs w:val="32"/>
          <w:lang w:val="en-US" w:eastAsia="zh-CN"/>
        </w:rPr>
      </w:pPr>
      <w:r>
        <w:rPr>
          <w:rFonts w:hint="eastAsia" w:cs="仿宋_GB2312"/>
          <w:bCs w:val="0"/>
          <w:color w:val="auto"/>
          <w:spacing w:val="0"/>
          <w:w w:val="100"/>
          <w:position w:val="0"/>
          <w:sz w:val="32"/>
          <w:szCs w:val="32"/>
          <w:highlight w:val="none"/>
          <w:lang w:val="en-US" w:eastAsia="zh-CN"/>
        </w:rPr>
        <w:t>第十六条</w:t>
      </w:r>
      <w:r>
        <w:rPr>
          <w:rFonts w:hint="eastAsia" w:cs="仿宋_GB2312"/>
          <w:color w:val="auto"/>
          <w:sz w:val="32"/>
          <w:szCs w:val="32"/>
          <w:lang w:val="en-US" w:eastAsia="zh-CN"/>
        </w:rPr>
        <w:t xml:space="preserve"> 对因管理不善造成资产丢失、损毁、闲置的实施主体，视情节轻重给予通报批评；企业类项目实施主体取消其两年内申报农业产业发展类财政补助项目的资格。</w:t>
      </w:r>
    </w:p>
    <w:p>
      <w:pPr>
        <w:pStyle w:val="2"/>
        <w:rPr>
          <w:rFonts w:hint="eastAsia" w:ascii="Times New Roman" w:hAnsi="Times New Roman" w:eastAsia="方正仿宋简体" w:cs="仿宋_GB2312"/>
          <w:bCs w:val="0"/>
          <w:color w:val="auto"/>
          <w:sz w:val="32"/>
          <w:szCs w:val="32"/>
          <w:lang w:val="en-US" w:eastAsia="zh-CN" w:bidi="ar-SA"/>
        </w:rPr>
      </w:pPr>
      <w:r>
        <w:rPr>
          <w:rFonts w:hint="eastAsia" w:ascii="Times New Roman" w:hAnsi="Times New Roman" w:eastAsia="方正仿宋简体" w:cs="仿宋_GB2312"/>
          <w:bCs w:val="0"/>
          <w:color w:val="auto"/>
          <w:sz w:val="32"/>
          <w:szCs w:val="32"/>
          <w:lang w:val="en-US" w:eastAsia="zh-CN" w:bidi="ar-SA"/>
        </w:rPr>
        <w:t>第十</w:t>
      </w:r>
      <w:r>
        <w:rPr>
          <w:rFonts w:hint="eastAsia" w:eastAsia="方正仿宋简体" w:cs="仿宋_GB2312"/>
          <w:bCs w:val="0"/>
          <w:color w:val="auto"/>
          <w:sz w:val="32"/>
          <w:szCs w:val="32"/>
          <w:lang w:val="en-US" w:eastAsia="zh-CN" w:bidi="ar-SA"/>
        </w:rPr>
        <w:t>七</w:t>
      </w:r>
      <w:r>
        <w:rPr>
          <w:rFonts w:hint="eastAsia" w:ascii="Times New Roman" w:hAnsi="Times New Roman" w:eastAsia="方正仿宋简体" w:cs="仿宋_GB2312"/>
          <w:bCs w:val="0"/>
          <w:color w:val="auto"/>
          <w:sz w:val="32"/>
          <w:szCs w:val="32"/>
          <w:lang w:val="en-US" w:eastAsia="zh-CN" w:bidi="ar-SA"/>
        </w:rPr>
        <w:t>条 对存在故意损毁、擅自变卖、转移资产、虚假合同套取资金等违法违规行为的单位和个人，依法追究行政或法律责任。</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color w:val="auto"/>
          <w:lang w:val="en-US" w:eastAsia="zh-CN"/>
        </w:rPr>
      </w:pPr>
      <w:r>
        <w:rPr>
          <w:rFonts w:hint="eastAsia"/>
          <w:color w:val="auto"/>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仿宋_GB2312"/>
          <w:bCs w:val="0"/>
          <w:color w:val="auto"/>
          <w:sz w:val="32"/>
          <w:szCs w:val="32"/>
          <w:lang w:val="en-US" w:eastAsia="zh-CN" w:bidi="ar-SA"/>
        </w:rPr>
      </w:pPr>
      <w:r>
        <w:rPr>
          <w:rFonts w:hint="eastAsia" w:ascii="Times New Roman" w:hAnsi="Times New Roman" w:eastAsia="方正仿宋简体" w:cs="仿宋_GB2312"/>
          <w:bCs w:val="0"/>
          <w:color w:val="auto"/>
          <w:sz w:val="32"/>
          <w:szCs w:val="32"/>
          <w:lang w:val="en-US" w:eastAsia="zh-CN" w:bidi="ar-SA"/>
        </w:rPr>
        <w:t>第十</w:t>
      </w:r>
      <w:r>
        <w:rPr>
          <w:rFonts w:hint="eastAsia" w:cs="仿宋_GB2312"/>
          <w:bCs w:val="0"/>
          <w:color w:val="auto"/>
          <w:sz w:val="32"/>
          <w:szCs w:val="32"/>
          <w:lang w:val="en-US" w:eastAsia="zh-CN" w:bidi="ar-SA"/>
        </w:rPr>
        <w:t>八</w:t>
      </w:r>
      <w:r>
        <w:rPr>
          <w:rFonts w:hint="eastAsia" w:ascii="Times New Roman" w:hAnsi="Times New Roman" w:eastAsia="方正仿宋简体" w:cs="仿宋_GB2312"/>
          <w:bCs w:val="0"/>
          <w:color w:val="auto"/>
          <w:sz w:val="32"/>
          <w:szCs w:val="32"/>
          <w:lang w:val="en-US" w:eastAsia="zh-CN" w:bidi="ar-SA"/>
        </w:rPr>
        <w:t>条  本制度自印发之日起执行。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方正仿宋简体" w:cs="仿宋_GB2312"/>
          <w:bCs w:val="0"/>
          <w:color w:val="auto"/>
          <w:sz w:val="32"/>
          <w:szCs w:val="32"/>
          <w:lang w:val="en-US" w:eastAsia="zh-CN" w:bidi="ar-SA"/>
        </w:rPr>
        <w:t>第</w:t>
      </w:r>
      <w:r>
        <w:rPr>
          <w:rFonts w:hint="eastAsia" w:cs="仿宋_GB2312"/>
          <w:bCs w:val="0"/>
          <w:color w:val="auto"/>
          <w:sz w:val="32"/>
          <w:szCs w:val="32"/>
          <w:lang w:val="en-US" w:eastAsia="zh-CN" w:bidi="ar-SA"/>
        </w:rPr>
        <w:t>十九</w:t>
      </w:r>
      <w:bookmarkStart w:id="0" w:name="_GoBack"/>
      <w:bookmarkEnd w:id="0"/>
      <w:r>
        <w:rPr>
          <w:rFonts w:hint="eastAsia" w:ascii="Times New Roman" w:hAnsi="Times New Roman" w:eastAsia="方正仿宋简体" w:cs="仿宋_GB2312"/>
          <w:bCs w:val="0"/>
          <w:color w:val="auto"/>
          <w:sz w:val="32"/>
          <w:szCs w:val="32"/>
          <w:lang w:val="en-US" w:eastAsia="zh-CN" w:bidi="ar-SA"/>
        </w:rPr>
        <w:t xml:space="preserve">条 </w:t>
      </w:r>
      <w:r>
        <w:rPr>
          <w:rFonts w:hint="eastAsia" w:ascii="Times New Roman" w:hAnsi="Times New Roman" w:eastAsia="楷体_GB2312" w:cs="楷体_GB2312"/>
          <w:b w:val="0"/>
          <w:bCs w:val="0"/>
          <w:sz w:val="32"/>
          <w:szCs w:val="32"/>
          <w:lang w:val="en-US" w:eastAsia="zh-CN"/>
        </w:rPr>
        <w:t xml:space="preserve"> </w:t>
      </w:r>
      <w:r>
        <w:rPr>
          <w:rFonts w:hint="eastAsia" w:ascii="Times New Roman" w:hAnsi="Times New Roman" w:eastAsia="仿宋_GB2312" w:cs="仿宋_GB2312"/>
          <w:sz w:val="32"/>
          <w:szCs w:val="32"/>
          <w:lang w:val="en-US" w:eastAsia="zh-CN"/>
        </w:rPr>
        <w:t>本制度由</w:t>
      </w:r>
      <w:r>
        <w:rPr>
          <w:rFonts w:hint="eastAsia" w:ascii="Times New Roman" w:hAnsi="Times New Roman" w:eastAsia="仿宋_GB2312" w:cs="仿宋_GB2312"/>
          <w:color w:val="auto"/>
          <w:sz w:val="32"/>
          <w:szCs w:val="32"/>
          <w:lang w:val="en-US" w:eastAsia="zh-CN"/>
        </w:rPr>
        <w:t>产业园建设领导小组办公室负</w:t>
      </w:r>
      <w:r>
        <w:rPr>
          <w:rFonts w:hint="eastAsia" w:ascii="Times New Roman" w:hAnsi="Times New Roman" w:eastAsia="仿宋_GB2312" w:cs="仿宋_GB2312"/>
          <w:sz w:val="32"/>
          <w:szCs w:val="32"/>
          <w:lang w:val="en-US" w:eastAsia="zh-CN"/>
        </w:rPr>
        <w:t>责解释。</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mY1YjA5ODM0NTcwMWI1MWQxYWM1NDIyNDY3MjUifQ=="/>
  </w:docVars>
  <w:rsids>
    <w:rsidRoot w:val="00000000"/>
    <w:rsid w:val="0A55792F"/>
    <w:rsid w:val="4FBB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3" w:semiHidden="0" w:name="heading 2"/>
    <w:lsdException w:qFormat="1" w:uiPriority="4"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0" w:line="590" w:lineRule="exact"/>
      <w:ind w:firstLine="200" w:firstLineChars="200"/>
      <w:jc w:val="both"/>
    </w:pPr>
    <w:rPr>
      <w:rFonts w:ascii="Times New Roman" w:hAnsi="Times New Roman" w:eastAsia="方正仿宋简体" w:cstheme="minorBidi"/>
      <w:sz w:val="32"/>
      <w:szCs w:val="22"/>
      <w:lang w:val="en-US" w:eastAsia="zh-CN" w:bidi="ar-SA"/>
    </w:rPr>
  </w:style>
  <w:style w:type="paragraph" w:styleId="3">
    <w:name w:val="heading 1"/>
    <w:basedOn w:val="1"/>
    <w:next w:val="1"/>
    <w:qFormat/>
    <w:uiPriority w:val="2"/>
    <w:pPr>
      <w:keepNext/>
      <w:keepLines/>
      <w:outlineLvl w:val="0"/>
    </w:pPr>
    <w:rPr>
      <w:rFonts w:eastAsia="黑体"/>
      <w:bCs/>
      <w:kern w:val="44"/>
      <w:szCs w:val="44"/>
    </w:rPr>
  </w:style>
  <w:style w:type="paragraph" w:styleId="2">
    <w:name w:val="heading 2"/>
    <w:basedOn w:val="1"/>
    <w:next w:val="1"/>
    <w:unhideWhenUsed/>
    <w:qFormat/>
    <w:uiPriority w:val="3"/>
    <w:pPr>
      <w:keepNext/>
      <w:keepLines/>
      <w:outlineLvl w:val="1"/>
    </w:pPr>
    <w:rPr>
      <w:rFonts w:eastAsia="楷体" w:cstheme="majorBidi"/>
      <w:bCs/>
      <w:szCs w:val="32"/>
    </w:rPr>
  </w:style>
  <w:style w:type="paragraph" w:styleId="4">
    <w:name w:val="heading 3"/>
    <w:basedOn w:val="1"/>
    <w:next w:val="1"/>
    <w:unhideWhenUsed/>
    <w:qFormat/>
    <w:uiPriority w:val="4"/>
    <w:pPr>
      <w:keepNext/>
      <w:keepLines/>
      <w:outlineLvl w:val="2"/>
    </w:pPr>
    <w:rPr>
      <w:rFonts w:eastAsia="仿宋"/>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next w:val="1"/>
    <w:qFormat/>
    <w:uiPriority w:val="1"/>
    <w:pPr>
      <w:ind w:firstLine="0" w:firstLineChars="0"/>
      <w:jc w:val="center"/>
      <w:outlineLvl w:val="0"/>
    </w:pPr>
    <w:rPr>
      <w:rFonts w:eastAsia="方正小标宋简体" w:cstheme="majorBidi"/>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2025-12-17T15:39:51Z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B8D4F606DDEC4FB89CB05D53DDD3E5AB</vt:lpwstr>
  </property>
</Properties>
</file>